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73C49" w14:textId="77777777" w:rsidR="00012FC0" w:rsidRPr="00B85BC0" w:rsidRDefault="00010AF5" w:rsidP="00391EF9">
      <w:pPr>
        <w:pStyle w:val="ExecutiveName"/>
        <w:spacing w:after="120" w:line="240" w:lineRule="auto"/>
        <w:rPr>
          <w:sz w:val="56"/>
          <w:szCs w:val="24"/>
        </w:rPr>
      </w:pPr>
      <w:r w:rsidRPr="00B85BC0">
        <w:rPr>
          <w:sz w:val="56"/>
          <w:szCs w:val="24"/>
        </w:rPr>
        <w:t>JUAN MANUEL GALARZA, PMP®</w:t>
      </w:r>
    </w:p>
    <w:p w14:paraId="7A10A75D" w14:textId="77777777" w:rsidR="00012FC0" w:rsidRPr="00B85BC0" w:rsidRDefault="00010AF5" w:rsidP="00391EF9">
      <w:pPr>
        <w:pStyle w:val="ExecutiveTitle"/>
        <w:spacing w:after="80"/>
        <w:rPr>
          <w:sz w:val="24"/>
          <w:szCs w:val="24"/>
        </w:rPr>
      </w:pPr>
      <w:r w:rsidRPr="00B85BC0">
        <w:rPr>
          <w:sz w:val="24"/>
          <w:szCs w:val="24"/>
        </w:rPr>
        <w:t>Project, Operations and Asset Management Leader | Mechanical Engineer | Facilitator</w:t>
      </w:r>
    </w:p>
    <w:p w14:paraId="6BF19BE2" w14:textId="1C19D84B" w:rsidR="00012FC0" w:rsidRPr="00B85BC0" w:rsidRDefault="00010AF5" w:rsidP="00391EF9">
      <w:pPr>
        <w:pStyle w:val="ExecutiveContact"/>
        <w:pBdr>
          <w:bottom w:val="single" w:sz="7" w:space="4" w:color="214E75"/>
        </w:pBdr>
        <w:spacing w:after="240"/>
        <w:rPr>
          <w:sz w:val="18"/>
          <w:szCs w:val="24"/>
        </w:rPr>
      </w:pPr>
      <w:r w:rsidRPr="00B85BC0">
        <w:rPr>
          <w:color w:val="5F6C78"/>
          <w:sz w:val="18"/>
          <w:szCs w:val="24"/>
        </w:rPr>
        <w:t xml:space="preserve">Calgary, Alberta, </w:t>
      </w:r>
      <w:proofErr w:type="gramStart"/>
      <w:r w:rsidRPr="00B85BC0">
        <w:rPr>
          <w:color w:val="5F6C78"/>
          <w:sz w:val="18"/>
          <w:szCs w:val="24"/>
        </w:rPr>
        <w:t>Canada  ·</w:t>
      </w:r>
      <w:proofErr w:type="gramEnd"/>
      <w:r w:rsidRPr="00B85BC0">
        <w:rPr>
          <w:color w:val="5F6C78"/>
          <w:sz w:val="18"/>
          <w:szCs w:val="24"/>
        </w:rPr>
        <w:t xml:space="preserve">  Canadian Permanent </w:t>
      </w:r>
      <w:proofErr w:type="gramStart"/>
      <w:r w:rsidRPr="00B85BC0">
        <w:rPr>
          <w:color w:val="5F6C78"/>
          <w:sz w:val="18"/>
          <w:szCs w:val="24"/>
        </w:rPr>
        <w:t>Resident  ·</w:t>
      </w:r>
      <w:proofErr w:type="gramEnd"/>
      <w:r w:rsidRPr="00B85BC0">
        <w:rPr>
          <w:color w:val="5F6C78"/>
          <w:sz w:val="18"/>
          <w:szCs w:val="24"/>
        </w:rPr>
        <w:t xml:space="preserve">  </w:t>
      </w:r>
      <w:proofErr w:type="gramStart"/>
      <w:r w:rsidRPr="00B85BC0">
        <w:rPr>
          <w:color w:val="5F6C78"/>
          <w:sz w:val="18"/>
          <w:szCs w:val="24"/>
        </w:rPr>
        <w:t>juan_manuel@galarza.ca  ·</w:t>
      </w:r>
      <w:proofErr w:type="gramEnd"/>
      <w:r w:rsidRPr="00B85BC0">
        <w:rPr>
          <w:color w:val="5F6C78"/>
          <w:sz w:val="18"/>
          <w:szCs w:val="24"/>
        </w:rPr>
        <w:t xml:space="preserve">  +1 825 747 </w:t>
      </w:r>
      <w:proofErr w:type="gramStart"/>
      <w:r w:rsidRPr="00B85BC0">
        <w:rPr>
          <w:color w:val="5F6C78"/>
          <w:sz w:val="18"/>
          <w:szCs w:val="24"/>
        </w:rPr>
        <w:t>6217  ·</w:t>
      </w:r>
      <w:proofErr w:type="gramEnd"/>
      <w:r w:rsidRPr="00B85BC0">
        <w:rPr>
          <w:color w:val="5F6C78"/>
          <w:sz w:val="18"/>
          <w:szCs w:val="24"/>
        </w:rPr>
        <w:t xml:space="preserve">  </w:t>
      </w:r>
      <w:r w:rsidR="00DC0352">
        <w:rPr>
          <w:color w:val="5F6C78"/>
          <w:sz w:val="18"/>
          <w:szCs w:val="24"/>
        </w:rPr>
        <w:br/>
      </w:r>
      <w:r w:rsidRPr="00B85BC0">
        <w:rPr>
          <w:color w:val="5F6C78"/>
          <w:sz w:val="18"/>
          <w:szCs w:val="24"/>
        </w:rPr>
        <w:t>linkedin.com/in/</w:t>
      </w:r>
      <w:proofErr w:type="spellStart"/>
      <w:r w:rsidRPr="00B85BC0">
        <w:rPr>
          <w:color w:val="5F6C78"/>
          <w:sz w:val="18"/>
          <w:szCs w:val="24"/>
        </w:rPr>
        <w:t>juan</w:t>
      </w:r>
      <w:proofErr w:type="spellEnd"/>
      <w:r w:rsidRPr="00B85BC0">
        <w:rPr>
          <w:color w:val="5F6C78"/>
          <w:sz w:val="18"/>
          <w:szCs w:val="24"/>
        </w:rPr>
        <w:t>-</w:t>
      </w:r>
      <w:proofErr w:type="spellStart"/>
      <w:r w:rsidRPr="00B85BC0">
        <w:rPr>
          <w:color w:val="5F6C78"/>
          <w:sz w:val="18"/>
          <w:szCs w:val="24"/>
        </w:rPr>
        <w:t>manuel</w:t>
      </w:r>
      <w:proofErr w:type="spellEnd"/>
      <w:r w:rsidRPr="00B85BC0">
        <w:rPr>
          <w:color w:val="5F6C78"/>
          <w:sz w:val="18"/>
          <w:szCs w:val="24"/>
        </w:rPr>
        <w:t>-</w:t>
      </w:r>
      <w:proofErr w:type="spellStart"/>
      <w:r w:rsidRPr="00B85BC0">
        <w:rPr>
          <w:color w:val="5F6C78"/>
          <w:sz w:val="18"/>
          <w:szCs w:val="24"/>
        </w:rPr>
        <w:t>galarza</w:t>
      </w:r>
      <w:proofErr w:type="spellEnd"/>
      <w:r w:rsidRPr="00B85BC0">
        <w:rPr>
          <w:color w:val="5F6C78"/>
          <w:sz w:val="18"/>
          <w:szCs w:val="24"/>
        </w:rPr>
        <w:t>-oil-and-gas</w:t>
      </w:r>
    </w:p>
    <w:tbl>
      <w:tblPr>
        <w:tblW w:w="10190" w:type="dxa"/>
        <w:jc w:val="center"/>
        <w:tblLayout w:type="fixed"/>
        <w:tblLook w:val="04A0" w:firstRow="1" w:lastRow="0" w:firstColumn="1" w:lastColumn="0" w:noHBand="0" w:noVBand="1"/>
      </w:tblPr>
      <w:tblGrid>
        <w:gridCol w:w="2038"/>
        <w:gridCol w:w="2038"/>
        <w:gridCol w:w="2038"/>
        <w:gridCol w:w="2038"/>
        <w:gridCol w:w="2038"/>
      </w:tblGrid>
      <w:tr w:rsidR="00012FC0" w:rsidRPr="00B85BC0" w14:paraId="25932635" w14:textId="77777777">
        <w:trPr>
          <w:tblHeader/>
          <w:jc w:val="center"/>
        </w:trPr>
        <w:tc>
          <w:tcPr>
            <w:tcW w:w="2038" w:type="dxa"/>
            <w:tcBorders>
              <w:top w:val="single" w:sz="5" w:space="0" w:color="214E75"/>
              <w:left w:val="single" w:sz="3" w:space="0" w:color="D5DBE5"/>
              <w:bottom w:val="single" w:sz="5" w:space="0" w:color="214E75"/>
              <w:right w:val="single" w:sz="3" w:space="0" w:color="D5DBE5"/>
            </w:tcBorders>
            <w:shd w:val="clear" w:color="auto" w:fill="EAF0F5"/>
            <w:tcMar>
              <w:top w:w="78" w:type="dxa"/>
              <w:left w:w="92" w:type="dxa"/>
              <w:bottom w:w="70" w:type="dxa"/>
              <w:right w:w="82" w:type="dxa"/>
            </w:tcMar>
            <w:vAlign w:val="center"/>
          </w:tcPr>
          <w:p w14:paraId="2EF62C1B" w14:textId="77777777" w:rsidR="00012FC0" w:rsidRPr="00B85BC0" w:rsidRDefault="00010AF5" w:rsidP="00DC0352">
            <w:pPr>
              <w:spacing w:after="0" w:line="276" w:lineRule="auto"/>
              <w:jc w:val="center"/>
              <w:rPr>
                <w:sz w:val="18"/>
                <w:szCs w:val="24"/>
              </w:rPr>
            </w:pPr>
            <w:r w:rsidRPr="00B85BC0">
              <w:rPr>
                <w:b/>
                <w:color w:val="275B87"/>
                <w:sz w:val="28"/>
                <w:szCs w:val="24"/>
              </w:rPr>
              <w:t>20%</w:t>
            </w:r>
            <w:r w:rsidRPr="00B85BC0">
              <w:rPr>
                <w:color w:val="5F6C78"/>
                <w:sz w:val="18"/>
                <w:szCs w:val="24"/>
              </w:rPr>
              <w:br/>
              <w:t>reserves growth</w:t>
            </w:r>
          </w:p>
        </w:tc>
        <w:tc>
          <w:tcPr>
            <w:tcW w:w="2038" w:type="dxa"/>
            <w:tcBorders>
              <w:top w:val="single" w:sz="5" w:space="0" w:color="214E75"/>
              <w:left w:val="single" w:sz="5" w:space="0" w:color="FFFFFF"/>
              <w:bottom w:val="single" w:sz="5" w:space="0" w:color="214E75"/>
              <w:right w:val="single" w:sz="3" w:space="0" w:color="D5DBE5"/>
            </w:tcBorders>
            <w:shd w:val="clear" w:color="auto" w:fill="EAF0F5"/>
            <w:tcMar>
              <w:top w:w="78" w:type="dxa"/>
              <w:left w:w="92" w:type="dxa"/>
              <w:bottom w:w="70" w:type="dxa"/>
              <w:right w:w="82" w:type="dxa"/>
            </w:tcMar>
            <w:vAlign w:val="center"/>
          </w:tcPr>
          <w:p w14:paraId="635EF6BC" w14:textId="77777777" w:rsidR="00012FC0" w:rsidRPr="00B85BC0" w:rsidRDefault="00010AF5" w:rsidP="00DC0352">
            <w:pPr>
              <w:spacing w:after="0" w:line="276" w:lineRule="auto"/>
              <w:jc w:val="center"/>
              <w:rPr>
                <w:sz w:val="18"/>
                <w:szCs w:val="24"/>
              </w:rPr>
            </w:pPr>
            <w:r w:rsidRPr="00B85BC0">
              <w:rPr>
                <w:b/>
                <w:color w:val="275B87"/>
                <w:sz w:val="28"/>
                <w:szCs w:val="24"/>
              </w:rPr>
              <w:t>40%</w:t>
            </w:r>
            <w:r w:rsidRPr="00B85BC0">
              <w:rPr>
                <w:color w:val="5F6C78"/>
                <w:sz w:val="18"/>
                <w:szCs w:val="24"/>
              </w:rPr>
              <w:br/>
              <w:t>contingent resource increase</w:t>
            </w:r>
          </w:p>
        </w:tc>
        <w:tc>
          <w:tcPr>
            <w:tcW w:w="2038" w:type="dxa"/>
            <w:tcBorders>
              <w:top w:val="single" w:sz="5" w:space="0" w:color="214E75"/>
              <w:left w:val="single" w:sz="5" w:space="0" w:color="FFFFFF"/>
              <w:bottom w:val="single" w:sz="5" w:space="0" w:color="214E75"/>
              <w:right w:val="single" w:sz="3" w:space="0" w:color="D5DBE5"/>
            </w:tcBorders>
            <w:shd w:val="clear" w:color="auto" w:fill="EAF0F5"/>
            <w:tcMar>
              <w:top w:w="78" w:type="dxa"/>
              <w:left w:w="92" w:type="dxa"/>
              <w:bottom w:w="70" w:type="dxa"/>
              <w:right w:w="82" w:type="dxa"/>
            </w:tcMar>
            <w:vAlign w:val="center"/>
          </w:tcPr>
          <w:p w14:paraId="3D8887AD" w14:textId="77777777" w:rsidR="00012FC0" w:rsidRPr="00B85BC0" w:rsidRDefault="00010AF5" w:rsidP="00DC0352">
            <w:pPr>
              <w:spacing w:after="0" w:line="276" w:lineRule="auto"/>
              <w:jc w:val="center"/>
              <w:rPr>
                <w:sz w:val="18"/>
                <w:szCs w:val="24"/>
              </w:rPr>
            </w:pPr>
            <w:r w:rsidRPr="00B85BC0">
              <w:rPr>
                <w:b/>
                <w:color w:val="275B87"/>
                <w:sz w:val="28"/>
                <w:szCs w:val="24"/>
              </w:rPr>
              <w:t>40%</w:t>
            </w:r>
            <w:r w:rsidRPr="00B85BC0">
              <w:rPr>
                <w:color w:val="5F6C78"/>
                <w:sz w:val="18"/>
                <w:szCs w:val="24"/>
              </w:rPr>
              <w:br/>
              <w:t>OPEX reduction</w:t>
            </w:r>
          </w:p>
        </w:tc>
        <w:tc>
          <w:tcPr>
            <w:tcW w:w="2038" w:type="dxa"/>
            <w:tcBorders>
              <w:top w:val="single" w:sz="5" w:space="0" w:color="214E75"/>
              <w:left w:val="single" w:sz="5" w:space="0" w:color="FFFFFF"/>
              <w:bottom w:val="single" w:sz="5" w:space="0" w:color="214E75"/>
              <w:right w:val="single" w:sz="3" w:space="0" w:color="D5DBE5"/>
            </w:tcBorders>
            <w:shd w:val="clear" w:color="auto" w:fill="EAF0F5"/>
            <w:tcMar>
              <w:top w:w="78" w:type="dxa"/>
              <w:left w:w="92" w:type="dxa"/>
              <w:bottom w:w="70" w:type="dxa"/>
              <w:right w:w="82" w:type="dxa"/>
            </w:tcMar>
            <w:vAlign w:val="center"/>
          </w:tcPr>
          <w:p w14:paraId="0F4D154D" w14:textId="77777777" w:rsidR="00012FC0" w:rsidRPr="00B85BC0" w:rsidRDefault="00010AF5" w:rsidP="00DC0352">
            <w:pPr>
              <w:spacing w:after="0" w:line="276" w:lineRule="auto"/>
              <w:jc w:val="center"/>
              <w:rPr>
                <w:sz w:val="18"/>
                <w:szCs w:val="24"/>
              </w:rPr>
            </w:pPr>
            <w:r w:rsidRPr="00B85BC0">
              <w:rPr>
                <w:b/>
                <w:color w:val="275B87"/>
                <w:sz w:val="28"/>
                <w:szCs w:val="24"/>
              </w:rPr>
              <w:t>82% to 99.5%</w:t>
            </w:r>
            <w:r w:rsidRPr="00B85BC0">
              <w:rPr>
                <w:color w:val="5F6C78"/>
                <w:sz w:val="18"/>
                <w:szCs w:val="24"/>
              </w:rPr>
              <w:br/>
              <w:t>plant efficiency improvement</w:t>
            </w:r>
          </w:p>
        </w:tc>
        <w:tc>
          <w:tcPr>
            <w:tcW w:w="2038" w:type="dxa"/>
            <w:tcBorders>
              <w:top w:val="single" w:sz="5" w:space="0" w:color="214E75"/>
              <w:left w:val="single" w:sz="5" w:space="0" w:color="FFFFFF"/>
              <w:bottom w:val="single" w:sz="5" w:space="0" w:color="214E75"/>
              <w:right w:val="single" w:sz="3" w:space="0" w:color="D5DBE5"/>
            </w:tcBorders>
            <w:shd w:val="clear" w:color="auto" w:fill="EAF0F5"/>
            <w:tcMar>
              <w:top w:w="78" w:type="dxa"/>
              <w:left w:w="92" w:type="dxa"/>
              <w:bottom w:w="70" w:type="dxa"/>
              <w:right w:w="82" w:type="dxa"/>
            </w:tcMar>
            <w:vAlign w:val="center"/>
          </w:tcPr>
          <w:p w14:paraId="247662A4" w14:textId="77777777" w:rsidR="00012FC0" w:rsidRPr="00B85BC0" w:rsidRDefault="00010AF5" w:rsidP="00DC0352">
            <w:pPr>
              <w:spacing w:after="0" w:line="276" w:lineRule="auto"/>
              <w:jc w:val="center"/>
              <w:rPr>
                <w:sz w:val="18"/>
                <w:szCs w:val="24"/>
              </w:rPr>
            </w:pPr>
            <w:r w:rsidRPr="00B85BC0">
              <w:rPr>
                <w:b/>
                <w:color w:val="275B87"/>
                <w:sz w:val="28"/>
                <w:szCs w:val="24"/>
              </w:rPr>
              <w:t>35M</w:t>
            </w:r>
            <w:r w:rsidRPr="00B85BC0">
              <w:rPr>
                <w:color w:val="5F6C78"/>
                <w:sz w:val="18"/>
                <w:szCs w:val="24"/>
              </w:rPr>
              <w:br/>
              <w:t>work hours without LTI</w:t>
            </w:r>
          </w:p>
        </w:tc>
      </w:tr>
    </w:tbl>
    <w:p w14:paraId="03A2130D" w14:textId="77777777" w:rsidR="00012FC0" w:rsidRPr="00B85BC0" w:rsidRDefault="00010AF5" w:rsidP="00391EF9">
      <w:pPr>
        <w:pStyle w:val="ExecutiveSectionBar"/>
        <w:keepLines/>
        <w:shd w:val="clear" w:color="auto" w:fill="214E75"/>
        <w:spacing w:before="200" w:after="120" w:line="276" w:lineRule="auto"/>
        <w:rPr>
          <w:sz w:val="24"/>
          <w:szCs w:val="24"/>
        </w:rPr>
      </w:pPr>
      <w:r w:rsidRPr="00B85BC0">
        <w:rPr>
          <w:sz w:val="24"/>
          <w:szCs w:val="24"/>
        </w:rPr>
        <w:t>PROFESSIONAL SUMMARY</w:t>
      </w:r>
    </w:p>
    <w:p w14:paraId="7BC19955" w14:textId="77777777" w:rsidR="00012FC0" w:rsidRPr="00B85BC0" w:rsidRDefault="00010AF5" w:rsidP="00391EF9">
      <w:pPr>
        <w:pStyle w:val="ExecutiveSummaryText"/>
        <w:spacing w:line="276" w:lineRule="auto"/>
        <w:rPr>
          <w:sz w:val="18"/>
          <w:szCs w:val="24"/>
        </w:rPr>
      </w:pPr>
      <w:r w:rsidRPr="00B85BC0">
        <w:rPr>
          <w:sz w:val="18"/>
          <w:szCs w:val="24"/>
        </w:rPr>
        <w:t>Mechanical Engineer, PMP® certified project manager and facilitator based in Calgary, with extensive leadership experience across projects, operations and asset management. Recent Canadian roles include the Chauvin mature heavy oil asset, Canadian technical and HSE services, and development support for the Edson unconventional gas project.</w:t>
      </w:r>
    </w:p>
    <w:p w14:paraId="4D245A3F" w14:textId="6B4A3C2F" w:rsidR="00012FC0" w:rsidRPr="00B85BC0" w:rsidRDefault="00010AF5" w:rsidP="00391EF9">
      <w:pPr>
        <w:pStyle w:val="ExecutiveSummaryText"/>
        <w:spacing w:line="276" w:lineRule="auto"/>
        <w:rPr>
          <w:sz w:val="18"/>
          <w:szCs w:val="24"/>
        </w:rPr>
      </w:pPr>
      <w:r w:rsidRPr="00B85BC0">
        <w:rPr>
          <w:sz w:val="18"/>
          <w:szCs w:val="24"/>
        </w:rPr>
        <w:t>Leads work from business case and investment decision through construction, commissioning, start up, handover and operating performance. Brings hands-on field credibility in facilities, pipelines, rotating equipment, reliability, maintenance, contractor governance and process safety, supported by disciplined cost, schedule and risk control.</w:t>
      </w:r>
    </w:p>
    <w:p w14:paraId="52989672" w14:textId="77777777" w:rsidR="00012FC0" w:rsidRPr="00B85BC0" w:rsidRDefault="00010AF5" w:rsidP="00391EF9">
      <w:pPr>
        <w:pBdr>
          <w:bottom w:val="single" w:sz="5" w:space="2" w:color="CAD5DF"/>
        </w:pBdr>
        <w:spacing w:before="80" w:after="80" w:line="276" w:lineRule="auto"/>
        <w:jc w:val="center"/>
        <w:rPr>
          <w:sz w:val="18"/>
          <w:szCs w:val="24"/>
        </w:rPr>
      </w:pPr>
      <w:r w:rsidRPr="00B85BC0">
        <w:rPr>
          <w:sz w:val="18"/>
          <w:szCs w:val="24"/>
        </w:rPr>
        <w:t>Project Delivery · Asset Management · Operations Leadership · Process Safety · Commissioning and Start Up · Facilities and Pipelines · Operational Readiness · Reliability · Production Optimization · Technical Assurance</w:t>
      </w:r>
      <w:r w:rsidRPr="00B85BC0">
        <w:rPr>
          <w:sz w:val="18"/>
          <w:szCs w:val="24"/>
        </w:rPr>
        <w:br/>
        <w:t>Power BI · SAP PM · Maximo · MS Project · Primavera P6 · GE APM · AssetWise · SharePoint · Synergi Life</w:t>
      </w:r>
    </w:p>
    <w:p w14:paraId="42D0641D" w14:textId="77777777" w:rsidR="00012FC0" w:rsidRPr="00B85BC0" w:rsidRDefault="00010AF5" w:rsidP="00391EF9">
      <w:pPr>
        <w:pStyle w:val="ExecutiveSectionBar"/>
        <w:keepLines/>
        <w:shd w:val="clear" w:color="auto" w:fill="214E75"/>
        <w:spacing w:before="200" w:after="120" w:line="276" w:lineRule="auto"/>
        <w:rPr>
          <w:sz w:val="24"/>
          <w:szCs w:val="24"/>
        </w:rPr>
      </w:pPr>
      <w:r w:rsidRPr="00B85BC0">
        <w:rPr>
          <w:sz w:val="24"/>
          <w:szCs w:val="24"/>
        </w:rPr>
        <w:t>PROFESSIONAL EXPERIENCE</w:t>
      </w:r>
    </w:p>
    <w:tbl>
      <w:tblPr>
        <w:tblW w:w="10282" w:type="dxa"/>
        <w:jc w:val="center"/>
        <w:tblBorders>
          <w:top w:val="nil"/>
          <w:left w:val="nil"/>
          <w:bottom w:val="nil"/>
          <w:right w:val="nil"/>
          <w:insideH w:val="nil"/>
          <w:insideV w:val="nil"/>
        </w:tblBorders>
        <w:tblLayout w:type="fixed"/>
        <w:tblLook w:val="04A0" w:firstRow="1" w:lastRow="0" w:firstColumn="1" w:lastColumn="0" w:noHBand="0" w:noVBand="1"/>
      </w:tblPr>
      <w:tblGrid>
        <w:gridCol w:w="8452"/>
        <w:gridCol w:w="1830"/>
      </w:tblGrid>
      <w:tr w:rsidR="00012FC0" w:rsidRPr="00B85BC0" w14:paraId="7FCEED21" w14:textId="77777777" w:rsidTr="00DD2F00">
        <w:trPr>
          <w:tblHeader/>
          <w:jc w:val="center"/>
        </w:trPr>
        <w:tc>
          <w:tcPr>
            <w:tcW w:w="8452" w:type="dxa"/>
            <w:tcBorders>
              <w:top w:val="nil"/>
              <w:left w:val="nil"/>
              <w:bottom w:val="nil"/>
              <w:right w:val="nil"/>
            </w:tcBorders>
            <w:tcMar>
              <w:top w:w="28" w:type="dxa"/>
              <w:left w:w="0" w:type="dxa"/>
              <w:bottom w:w="0" w:type="dxa"/>
              <w:right w:w="0" w:type="dxa"/>
            </w:tcMar>
            <w:vAlign w:val="center"/>
          </w:tcPr>
          <w:p w14:paraId="4F9D7810" w14:textId="4F4ACBEC" w:rsidR="00012FC0" w:rsidRPr="00B85BC0" w:rsidRDefault="00010AF5" w:rsidP="00391EF9">
            <w:pPr>
              <w:keepNext/>
              <w:keepLines/>
              <w:spacing w:after="0" w:line="276" w:lineRule="auto"/>
              <w:rPr>
                <w:sz w:val="18"/>
                <w:szCs w:val="24"/>
              </w:rPr>
            </w:pPr>
            <w:r w:rsidRPr="00B85BC0">
              <w:rPr>
                <w:b/>
                <w:color w:val="000000"/>
                <w:sz w:val="18"/>
                <w:szCs w:val="24"/>
              </w:rPr>
              <w:t>Independent Operations and Asset Management Consultant</w:t>
            </w:r>
            <w:r w:rsidRPr="00B85BC0">
              <w:rPr>
                <w:b/>
                <w:color w:val="275B87"/>
                <w:sz w:val="18"/>
                <w:szCs w:val="24"/>
              </w:rPr>
              <w:t xml:space="preserve">, Orion Energy </w:t>
            </w:r>
            <w:proofErr w:type="gramStart"/>
            <w:r w:rsidRPr="00B85BC0">
              <w:rPr>
                <w:b/>
                <w:color w:val="275B87"/>
                <w:sz w:val="18"/>
                <w:szCs w:val="24"/>
              </w:rPr>
              <w:t>Consulting</w:t>
            </w:r>
            <w:r w:rsidRPr="00B85BC0">
              <w:rPr>
                <w:color w:val="5F6C78"/>
                <w:sz w:val="18"/>
                <w:szCs w:val="24"/>
              </w:rPr>
              <w:t xml:space="preserve">  ·</w:t>
            </w:r>
            <w:proofErr w:type="gramEnd"/>
            <w:r w:rsidRPr="00B85BC0">
              <w:rPr>
                <w:color w:val="5F6C78"/>
                <w:sz w:val="18"/>
                <w:szCs w:val="24"/>
              </w:rPr>
              <w:t xml:space="preserve">  Calgary, Alberta</w:t>
            </w:r>
          </w:p>
        </w:tc>
        <w:tc>
          <w:tcPr>
            <w:tcW w:w="1830" w:type="dxa"/>
            <w:tcBorders>
              <w:top w:val="nil"/>
              <w:left w:val="nil"/>
              <w:bottom w:val="nil"/>
              <w:right w:val="nil"/>
            </w:tcBorders>
            <w:tcMar>
              <w:top w:w="28" w:type="dxa"/>
              <w:left w:w="0" w:type="dxa"/>
              <w:bottom w:w="0" w:type="dxa"/>
              <w:right w:w="0" w:type="dxa"/>
            </w:tcMar>
            <w:vAlign w:val="center"/>
          </w:tcPr>
          <w:p w14:paraId="6713DB3F" w14:textId="77777777" w:rsidR="00012FC0" w:rsidRPr="00B85BC0" w:rsidRDefault="00010AF5" w:rsidP="00391EF9">
            <w:pPr>
              <w:keepNext/>
              <w:keepLines/>
              <w:spacing w:after="0" w:line="276" w:lineRule="auto"/>
              <w:jc w:val="right"/>
              <w:rPr>
                <w:sz w:val="18"/>
                <w:szCs w:val="24"/>
              </w:rPr>
            </w:pPr>
            <w:r w:rsidRPr="00B85BC0">
              <w:rPr>
                <w:i/>
                <w:color w:val="5F6C78"/>
                <w:sz w:val="18"/>
                <w:szCs w:val="24"/>
              </w:rPr>
              <w:t>Jan 2026 to Present</w:t>
            </w:r>
          </w:p>
        </w:tc>
      </w:tr>
    </w:tbl>
    <w:p w14:paraId="0AFEF3AC" w14:textId="77777777" w:rsidR="00012FC0" w:rsidRPr="00B85BC0" w:rsidRDefault="00010AF5" w:rsidP="0056625F">
      <w:pPr>
        <w:pStyle w:val="ExecutiveRoleBody"/>
        <w:spacing w:line="276" w:lineRule="auto"/>
        <w:ind w:left="360"/>
        <w:rPr>
          <w:sz w:val="18"/>
          <w:szCs w:val="24"/>
        </w:rPr>
      </w:pPr>
      <w:r w:rsidRPr="00B85BC0">
        <w:rPr>
          <w:sz w:val="18"/>
          <w:szCs w:val="24"/>
        </w:rPr>
        <w:t xml:space="preserve">Deliver project-based advisory to upstream clients on </w:t>
      </w:r>
      <w:r w:rsidRPr="00B85BC0">
        <w:rPr>
          <w:b/>
          <w:sz w:val="18"/>
          <w:szCs w:val="24"/>
        </w:rPr>
        <w:t>asset performance, project execution, production recovery and operating model improvement</w:t>
      </w:r>
      <w:r w:rsidRPr="00B85BC0">
        <w:rPr>
          <w:sz w:val="18"/>
          <w:szCs w:val="24"/>
        </w:rPr>
        <w:t>, converting strategic priorities into practical field plans and measurable actions.</w:t>
      </w:r>
    </w:p>
    <w:p w14:paraId="71D6D09E" w14:textId="77777777" w:rsidR="00012FC0" w:rsidRPr="00B85BC0" w:rsidRDefault="00010AF5" w:rsidP="00391EF9">
      <w:pPr>
        <w:pStyle w:val="ExecutiveRoleBody"/>
        <w:keepLines/>
        <w:numPr>
          <w:ilvl w:val="0"/>
          <w:numId w:val="1"/>
        </w:numPr>
        <w:spacing w:after="40" w:line="276" w:lineRule="auto"/>
        <w:ind w:left="317" w:hanging="173"/>
        <w:rPr>
          <w:sz w:val="18"/>
          <w:szCs w:val="24"/>
        </w:rPr>
      </w:pPr>
      <w:r w:rsidRPr="00B85BC0">
        <w:rPr>
          <w:sz w:val="18"/>
          <w:szCs w:val="24"/>
        </w:rPr>
        <w:t xml:space="preserve">Apply structured governance, </w:t>
      </w:r>
      <w:r w:rsidRPr="00B85BC0">
        <w:rPr>
          <w:b/>
          <w:sz w:val="18"/>
          <w:szCs w:val="24"/>
        </w:rPr>
        <w:t>risk based prioritization, decision quality data and cost discipline</w:t>
      </w:r>
      <w:r w:rsidRPr="00B85BC0">
        <w:rPr>
          <w:sz w:val="18"/>
          <w:szCs w:val="24"/>
        </w:rPr>
        <w:t xml:space="preserve"> while embedding process safety and asset integrity into execution routines.</w:t>
      </w:r>
    </w:p>
    <w:p w14:paraId="73244129" w14:textId="77777777" w:rsidR="00F54220" w:rsidRPr="00B85BC0" w:rsidRDefault="00F54220" w:rsidP="00391EF9">
      <w:pPr>
        <w:spacing w:after="0" w:line="276" w:lineRule="auto"/>
        <w:ind w:left="317" w:hanging="173"/>
        <w:rPr>
          <w:sz w:val="18"/>
          <w:szCs w:val="24"/>
        </w:rPr>
      </w:pPr>
    </w:p>
    <w:tbl>
      <w:tblPr>
        <w:tblW w:w="10282" w:type="dxa"/>
        <w:jc w:val="center"/>
        <w:tblBorders>
          <w:top w:val="nil"/>
          <w:left w:val="nil"/>
          <w:bottom w:val="nil"/>
          <w:right w:val="nil"/>
          <w:insideH w:val="nil"/>
          <w:insideV w:val="nil"/>
        </w:tblBorders>
        <w:tblLayout w:type="fixed"/>
        <w:tblLook w:val="04A0" w:firstRow="1" w:lastRow="0" w:firstColumn="1" w:lastColumn="0" w:noHBand="0" w:noVBand="1"/>
      </w:tblPr>
      <w:tblGrid>
        <w:gridCol w:w="8452"/>
        <w:gridCol w:w="1830"/>
      </w:tblGrid>
      <w:tr w:rsidR="00012FC0" w:rsidRPr="00B85BC0" w14:paraId="79A10F8B" w14:textId="77777777" w:rsidTr="00135138">
        <w:trPr>
          <w:tblHeader/>
          <w:jc w:val="center"/>
        </w:trPr>
        <w:tc>
          <w:tcPr>
            <w:tcW w:w="8452" w:type="dxa"/>
            <w:tcBorders>
              <w:top w:val="nil"/>
              <w:left w:val="nil"/>
              <w:bottom w:val="nil"/>
              <w:right w:val="nil"/>
            </w:tcBorders>
            <w:tcMar>
              <w:top w:w="28" w:type="dxa"/>
              <w:left w:w="0" w:type="dxa"/>
              <w:bottom w:w="0" w:type="dxa"/>
              <w:right w:w="0" w:type="dxa"/>
            </w:tcMar>
            <w:vAlign w:val="center"/>
          </w:tcPr>
          <w:p w14:paraId="10EE1F40" w14:textId="3D4B8C3A" w:rsidR="00012FC0" w:rsidRPr="00B85BC0" w:rsidRDefault="00010AF5" w:rsidP="00391EF9">
            <w:pPr>
              <w:keepNext/>
              <w:keepLines/>
              <w:spacing w:after="0" w:line="276" w:lineRule="auto"/>
              <w:rPr>
                <w:sz w:val="18"/>
                <w:szCs w:val="24"/>
              </w:rPr>
            </w:pPr>
            <w:r w:rsidRPr="00B85BC0">
              <w:rPr>
                <w:b/>
                <w:color w:val="000000"/>
                <w:sz w:val="18"/>
                <w:szCs w:val="24"/>
              </w:rPr>
              <w:t>Senior Advisor, E&amp;P Strategy, Operations and Transformation</w:t>
            </w:r>
            <w:r w:rsidRPr="00B85BC0">
              <w:rPr>
                <w:b/>
                <w:color w:val="275B87"/>
                <w:sz w:val="18"/>
                <w:szCs w:val="24"/>
              </w:rPr>
              <w:t>, EP Petroecuador</w:t>
            </w:r>
            <w:r w:rsidRPr="00B85BC0">
              <w:rPr>
                <w:color w:val="5F6C78"/>
                <w:sz w:val="18"/>
                <w:szCs w:val="24"/>
              </w:rPr>
              <w:t xml:space="preserve">  ·  Ecuador</w:t>
            </w:r>
          </w:p>
        </w:tc>
        <w:tc>
          <w:tcPr>
            <w:tcW w:w="1830" w:type="dxa"/>
            <w:tcBorders>
              <w:top w:val="nil"/>
              <w:left w:val="nil"/>
              <w:bottom w:val="nil"/>
              <w:right w:val="nil"/>
            </w:tcBorders>
            <w:tcMar>
              <w:top w:w="28" w:type="dxa"/>
              <w:left w:w="0" w:type="dxa"/>
              <w:bottom w:w="0" w:type="dxa"/>
              <w:right w:w="0" w:type="dxa"/>
            </w:tcMar>
            <w:vAlign w:val="center"/>
          </w:tcPr>
          <w:p w14:paraId="1A318AA8" w14:textId="77777777" w:rsidR="00012FC0" w:rsidRPr="00B85BC0" w:rsidRDefault="00010AF5" w:rsidP="00391EF9">
            <w:pPr>
              <w:keepNext/>
              <w:keepLines/>
              <w:spacing w:after="0" w:line="276" w:lineRule="auto"/>
              <w:jc w:val="right"/>
              <w:rPr>
                <w:sz w:val="18"/>
                <w:szCs w:val="24"/>
              </w:rPr>
            </w:pPr>
            <w:r w:rsidRPr="00B85BC0">
              <w:rPr>
                <w:i/>
                <w:color w:val="5F6C78"/>
                <w:sz w:val="18"/>
                <w:szCs w:val="24"/>
              </w:rPr>
              <w:t>Feb 2026 to May 2026</w:t>
            </w:r>
          </w:p>
        </w:tc>
      </w:tr>
    </w:tbl>
    <w:p w14:paraId="10F377EC" w14:textId="77777777" w:rsidR="00012FC0" w:rsidRPr="00B85BC0" w:rsidRDefault="00010AF5" w:rsidP="0056625F">
      <w:pPr>
        <w:pStyle w:val="ExecutiveRoleBody"/>
        <w:spacing w:line="276" w:lineRule="auto"/>
        <w:ind w:left="360"/>
        <w:rPr>
          <w:sz w:val="18"/>
          <w:szCs w:val="24"/>
        </w:rPr>
      </w:pPr>
      <w:r w:rsidRPr="00B85BC0">
        <w:rPr>
          <w:sz w:val="18"/>
          <w:szCs w:val="24"/>
        </w:rPr>
        <w:t xml:space="preserve">Advised E&amp;P leadership on </w:t>
      </w:r>
      <w:r w:rsidRPr="0056625F">
        <w:rPr>
          <w:sz w:val="18"/>
          <w:szCs w:val="24"/>
        </w:rPr>
        <w:t>operational transformation, production recovery, development planning and capital prioritization</w:t>
      </w:r>
      <w:r w:rsidRPr="00B85BC0">
        <w:rPr>
          <w:sz w:val="18"/>
          <w:szCs w:val="24"/>
        </w:rPr>
        <w:t xml:space="preserve"> across a complex national upstream portfolio.</w:t>
      </w:r>
    </w:p>
    <w:p w14:paraId="674C5B6B" w14:textId="77777777" w:rsidR="00012FC0" w:rsidRPr="00B85BC0" w:rsidRDefault="00010AF5" w:rsidP="00391EF9">
      <w:pPr>
        <w:pStyle w:val="ExecutiveRoleBody"/>
        <w:keepLines/>
        <w:numPr>
          <w:ilvl w:val="0"/>
          <w:numId w:val="1"/>
        </w:numPr>
        <w:spacing w:after="40" w:line="276" w:lineRule="auto"/>
        <w:ind w:left="317" w:hanging="173"/>
        <w:rPr>
          <w:sz w:val="18"/>
          <w:szCs w:val="24"/>
        </w:rPr>
      </w:pPr>
      <w:r w:rsidRPr="00B85BC0">
        <w:rPr>
          <w:sz w:val="18"/>
          <w:szCs w:val="24"/>
        </w:rPr>
        <w:t xml:space="preserve">Integrated drilling and workover priorities, facilities debottlenecking, produced water constraints and operational risk controls to </w:t>
      </w:r>
      <w:r w:rsidRPr="00B85BC0">
        <w:rPr>
          <w:b/>
          <w:sz w:val="18"/>
          <w:szCs w:val="24"/>
        </w:rPr>
        <w:t>protect base production and improve capital allocation</w:t>
      </w:r>
      <w:r w:rsidRPr="00B85BC0">
        <w:rPr>
          <w:sz w:val="18"/>
          <w:szCs w:val="24"/>
        </w:rPr>
        <w:t>.</w:t>
      </w:r>
    </w:p>
    <w:p w14:paraId="775C0B08" w14:textId="77777777" w:rsidR="00012FC0" w:rsidRPr="00B85BC0" w:rsidRDefault="00010AF5" w:rsidP="00391EF9">
      <w:pPr>
        <w:pStyle w:val="ExecutiveRoleBody"/>
        <w:keepLines/>
        <w:numPr>
          <w:ilvl w:val="0"/>
          <w:numId w:val="1"/>
        </w:numPr>
        <w:spacing w:after="40" w:line="276" w:lineRule="auto"/>
        <w:ind w:left="317" w:hanging="173"/>
        <w:rPr>
          <w:sz w:val="18"/>
          <w:szCs w:val="24"/>
        </w:rPr>
      </w:pPr>
      <w:r w:rsidRPr="00B85BC0">
        <w:rPr>
          <w:sz w:val="18"/>
          <w:szCs w:val="24"/>
        </w:rPr>
        <w:t xml:space="preserve">Introduced </w:t>
      </w:r>
      <w:r w:rsidRPr="00B85BC0">
        <w:rPr>
          <w:b/>
          <w:sz w:val="18"/>
          <w:szCs w:val="24"/>
        </w:rPr>
        <w:t>data visualization and performance analytics</w:t>
      </w:r>
      <w:r w:rsidRPr="00B85BC0">
        <w:rPr>
          <w:sz w:val="18"/>
          <w:szCs w:val="24"/>
        </w:rPr>
        <w:t xml:space="preserve"> into leadership routines for production, rig activity, losses, constraints and management follow up.</w:t>
      </w:r>
    </w:p>
    <w:tbl>
      <w:tblPr>
        <w:tblW w:w="10282" w:type="dxa"/>
        <w:jc w:val="center"/>
        <w:tblBorders>
          <w:top w:val="nil"/>
          <w:left w:val="nil"/>
          <w:bottom w:val="nil"/>
          <w:right w:val="nil"/>
          <w:insideH w:val="nil"/>
          <w:insideV w:val="nil"/>
        </w:tblBorders>
        <w:tblLayout w:type="fixed"/>
        <w:tblLook w:val="04A0" w:firstRow="1" w:lastRow="0" w:firstColumn="1" w:lastColumn="0" w:noHBand="0" w:noVBand="1"/>
      </w:tblPr>
      <w:tblGrid>
        <w:gridCol w:w="8452"/>
        <w:gridCol w:w="1830"/>
      </w:tblGrid>
      <w:tr w:rsidR="00012FC0" w:rsidRPr="00B85BC0" w14:paraId="79BA789D" w14:textId="77777777" w:rsidTr="00135138">
        <w:trPr>
          <w:tblHeader/>
          <w:jc w:val="center"/>
        </w:trPr>
        <w:tc>
          <w:tcPr>
            <w:tcW w:w="8452" w:type="dxa"/>
            <w:tcBorders>
              <w:top w:val="nil"/>
              <w:left w:val="nil"/>
              <w:bottom w:val="nil"/>
              <w:right w:val="nil"/>
            </w:tcBorders>
            <w:tcMar>
              <w:top w:w="28" w:type="dxa"/>
              <w:left w:w="0" w:type="dxa"/>
              <w:bottom w:w="0" w:type="dxa"/>
              <w:right w:w="0" w:type="dxa"/>
            </w:tcMar>
            <w:vAlign w:val="center"/>
          </w:tcPr>
          <w:p w14:paraId="3BC0F0AA" w14:textId="77777777" w:rsidR="00135138" w:rsidRPr="00B85BC0" w:rsidRDefault="00010AF5" w:rsidP="00391EF9">
            <w:pPr>
              <w:keepNext/>
              <w:keepLines/>
              <w:spacing w:after="0" w:line="276" w:lineRule="auto"/>
              <w:rPr>
                <w:b/>
                <w:color w:val="141414"/>
                <w:sz w:val="22"/>
                <w:szCs w:val="24"/>
              </w:rPr>
            </w:pPr>
            <w:r w:rsidRPr="00B85BC0">
              <w:rPr>
                <w:b/>
                <w:color w:val="000000"/>
                <w:sz w:val="18"/>
                <w:szCs w:val="24"/>
              </w:rPr>
              <w:t>Repsol Oil and Gas, Selected Global Assignments</w:t>
            </w:r>
            <w:r w:rsidRPr="00B85BC0">
              <w:rPr>
                <w:color w:val="5F6C78"/>
                <w:sz w:val="18"/>
                <w:szCs w:val="24"/>
              </w:rPr>
              <w:t xml:space="preserve">  ·  Canada, USA, Colombia, Algeria, Libya and Ecuador</w:t>
            </w:r>
          </w:p>
        </w:tc>
        <w:tc>
          <w:tcPr>
            <w:tcW w:w="1830" w:type="dxa"/>
            <w:tcBorders>
              <w:top w:val="nil"/>
              <w:left w:val="nil"/>
              <w:bottom w:val="nil"/>
              <w:right w:val="nil"/>
            </w:tcBorders>
            <w:tcMar>
              <w:top w:w="28" w:type="dxa"/>
              <w:left w:w="0" w:type="dxa"/>
              <w:bottom w:w="0" w:type="dxa"/>
              <w:right w:w="0" w:type="dxa"/>
            </w:tcMar>
            <w:vAlign w:val="center"/>
          </w:tcPr>
          <w:p w14:paraId="72C13927" w14:textId="77777777" w:rsidR="00012FC0" w:rsidRPr="00B85BC0" w:rsidRDefault="00010AF5" w:rsidP="00391EF9">
            <w:pPr>
              <w:keepNext/>
              <w:keepLines/>
              <w:spacing w:after="0" w:line="276" w:lineRule="auto"/>
              <w:jc w:val="right"/>
              <w:rPr>
                <w:sz w:val="18"/>
                <w:szCs w:val="24"/>
              </w:rPr>
            </w:pPr>
            <w:r w:rsidRPr="00B85BC0">
              <w:rPr>
                <w:i/>
                <w:color w:val="5F6C78"/>
                <w:sz w:val="18"/>
                <w:szCs w:val="24"/>
              </w:rPr>
              <w:t>Jun 2005 to Jan 2025</w:t>
            </w:r>
          </w:p>
        </w:tc>
      </w:tr>
    </w:tbl>
    <w:p w14:paraId="01B20B29" w14:textId="7BD8225A" w:rsidR="00012FC0" w:rsidRPr="00B85BC0" w:rsidRDefault="00012FC0" w:rsidP="00391EF9">
      <w:pPr>
        <w:spacing w:after="0" w:line="276" w:lineRule="auto"/>
        <w:rPr>
          <w:sz w:val="18"/>
          <w:szCs w:val="24"/>
        </w:rPr>
      </w:pPr>
    </w:p>
    <w:tbl>
      <w:tblPr>
        <w:tblW w:w="10282" w:type="dxa"/>
        <w:jc w:val="center"/>
        <w:tblBorders>
          <w:top w:val="nil"/>
          <w:left w:val="nil"/>
          <w:bottom w:val="nil"/>
          <w:right w:val="nil"/>
          <w:insideH w:val="nil"/>
          <w:insideV w:val="nil"/>
        </w:tblBorders>
        <w:tblLayout w:type="fixed"/>
        <w:tblLook w:val="04A0" w:firstRow="1" w:lastRow="0" w:firstColumn="1" w:lastColumn="0" w:noHBand="0" w:noVBand="1"/>
      </w:tblPr>
      <w:tblGrid>
        <w:gridCol w:w="8452"/>
        <w:gridCol w:w="1830"/>
      </w:tblGrid>
      <w:tr w:rsidR="00012FC0" w:rsidRPr="00B85BC0" w14:paraId="1CB90A59" w14:textId="77777777" w:rsidTr="00135138">
        <w:trPr>
          <w:tblHeader/>
          <w:jc w:val="center"/>
        </w:trPr>
        <w:tc>
          <w:tcPr>
            <w:tcW w:w="8452" w:type="dxa"/>
            <w:tcBorders>
              <w:top w:val="nil"/>
              <w:left w:val="nil"/>
              <w:bottom w:val="nil"/>
              <w:right w:val="nil"/>
            </w:tcBorders>
            <w:tcMar>
              <w:top w:w="28" w:type="dxa"/>
              <w:left w:w="0" w:type="dxa"/>
              <w:bottom w:w="0" w:type="dxa"/>
              <w:right w:w="0" w:type="dxa"/>
            </w:tcMar>
            <w:vAlign w:val="center"/>
          </w:tcPr>
          <w:p w14:paraId="2662DB91" w14:textId="7385C6B3" w:rsidR="00012FC0" w:rsidRPr="00B85BC0" w:rsidRDefault="00010AF5" w:rsidP="00391EF9">
            <w:pPr>
              <w:keepNext/>
              <w:keepLines/>
              <w:spacing w:after="0" w:line="276" w:lineRule="auto"/>
              <w:rPr>
                <w:sz w:val="18"/>
                <w:szCs w:val="24"/>
              </w:rPr>
            </w:pPr>
            <w:r w:rsidRPr="00B85BC0">
              <w:rPr>
                <w:b/>
                <w:color w:val="000000"/>
                <w:sz w:val="18"/>
                <w:szCs w:val="24"/>
              </w:rPr>
              <w:t>Senior Global Advisor and Mentor</w:t>
            </w:r>
            <w:r w:rsidRPr="00B85BC0">
              <w:rPr>
                <w:b/>
                <w:color w:val="275B87"/>
                <w:sz w:val="18"/>
                <w:szCs w:val="24"/>
              </w:rPr>
              <w:t>, Repsol</w:t>
            </w:r>
            <w:r w:rsidRPr="00B85BC0">
              <w:rPr>
                <w:color w:val="5F6C78"/>
                <w:sz w:val="18"/>
                <w:szCs w:val="24"/>
              </w:rPr>
              <w:t xml:space="preserve">  ·  Canada and USA</w:t>
            </w:r>
          </w:p>
        </w:tc>
        <w:tc>
          <w:tcPr>
            <w:tcW w:w="1830" w:type="dxa"/>
            <w:tcBorders>
              <w:top w:val="nil"/>
              <w:left w:val="nil"/>
              <w:bottom w:val="nil"/>
              <w:right w:val="nil"/>
            </w:tcBorders>
            <w:tcMar>
              <w:top w:w="28" w:type="dxa"/>
              <w:left w:w="0" w:type="dxa"/>
              <w:bottom w:w="0" w:type="dxa"/>
              <w:right w:w="0" w:type="dxa"/>
            </w:tcMar>
            <w:vAlign w:val="center"/>
          </w:tcPr>
          <w:p w14:paraId="398E21F2" w14:textId="77777777" w:rsidR="00012FC0" w:rsidRPr="00B85BC0" w:rsidRDefault="00010AF5" w:rsidP="00391EF9">
            <w:pPr>
              <w:keepNext/>
              <w:keepLines/>
              <w:spacing w:after="0" w:line="276" w:lineRule="auto"/>
              <w:jc w:val="right"/>
              <w:rPr>
                <w:sz w:val="18"/>
                <w:szCs w:val="24"/>
              </w:rPr>
            </w:pPr>
            <w:r w:rsidRPr="00B85BC0">
              <w:rPr>
                <w:i/>
                <w:color w:val="5F6C78"/>
                <w:sz w:val="18"/>
                <w:szCs w:val="24"/>
              </w:rPr>
              <w:t>Jun 2023 to Jan 2025</w:t>
            </w:r>
          </w:p>
        </w:tc>
      </w:tr>
    </w:tbl>
    <w:p w14:paraId="70AD755A" w14:textId="77777777" w:rsidR="00012FC0" w:rsidRPr="00B85BC0" w:rsidRDefault="00010AF5" w:rsidP="00391EF9">
      <w:pPr>
        <w:pStyle w:val="ExecutiveRoleBody"/>
        <w:keepLines/>
        <w:numPr>
          <w:ilvl w:val="0"/>
          <w:numId w:val="1"/>
        </w:numPr>
        <w:spacing w:after="40" w:line="276" w:lineRule="auto"/>
        <w:ind w:left="317" w:hanging="173"/>
        <w:rPr>
          <w:sz w:val="18"/>
          <w:szCs w:val="24"/>
        </w:rPr>
      </w:pPr>
      <w:r w:rsidRPr="00B85BC0">
        <w:rPr>
          <w:sz w:val="18"/>
          <w:szCs w:val="24"/>
        </w:rPr>
        <w:t xml:space="preserve">Provided </w:t>
      </w:r>
      <w:r w:rsidRPr="00B85BC0">
        <w:rPr>
          <w:b/>
          <w:sz w:val="18"/>
          <w:szCs w:val="24"/>
        </w:rPr>
        <w:t>governance, assurance and technical advisory</w:t>
      </w:r>
      <w:r w:rsidRPr="00B85BC0">
        <w:rPr>
          <w:sz w:val="18"/>
          <w:szCs w:val="24"/>
        </w:rPr>
        <w:t xml:space="preserve"> for major assets and projects, including Pikka Alaska and Gulf of Mexico well integrity work.</w:t>
      </w:r>
    </w:p>
    <w:p w14:paraId="497BECF7" w14:textId="77777777" w:rsidR="00012FC0" w:rsidRPr="00B85BC0" w:rsidRDefault="00010AF5" w:rsidP="00391EF9">
      <w:pPr>
        <w:pStyle w:val="ExecutiveRoleBody"/>
        <w:keepLines/>
        <w:numPr>
          <w:ilvl w:val="0"/>
          <w:numId w:val="1"/>
        </w:numPr>
        <w:spacing w:after="40" w:line="276" w:lineRule="auto"/>
        <w:ind w:left="317" w:hanging="173"/>
        <w:rPr>
          <w:sz w:val="18"/>
          <w:szCs w:val="24"/>
        </w:rPr>
      </w:pPr>
      <w:r w:rsidRPr="00B85BC0">
        <w:rPr>
          <w:sz w:val="18"/>
          <w:szCs w:val="24"/>
        </w:rPr>
        <w:t xml:space="preserve">Supported the successful Canadian asset divestment through disciplined </w:t>
      </w:r>
      <w:r w:rsidRPr="00B85BC0">
        <w:rPr>
          <w:b/>
          <w:sz w:val="18"/>
          <w:szCs w:val="24"/>
        </w:rPr>
        <w:t>operational, technical and decision quality readiness</w:t>
      </w:r>
      <w:r w:rsidRPr="00B85BC0">
        <w:rPr>
          <w:sz w:val="18"/>
          <w:szCs w:val="24"/>
        </w:rPr>
        <w:t>.</w:t>
      </w:r>
    </w:p>
    <w:tbl>
      <w:tblPr>
        <w:tblW w:w="10282" w:type="dxa"/>
        <w:jc w:val="center"/>
        <w:tblBorders>
          <w:top w:val="nil"/>
          <w:left w:val="nil"/>
          <w:bottom w:val="nil"/>
          <w:right w:val="nil"/>
          <w:insideH w:val="nil"/>
          <w:insideV w:val="nil"/>
        </w:tblBorders>
        <w:tblLayout w:type="fixed"/>
        <w:tblLook w:val="04A0" w:firstRow="1" w:lastRow="0" w:firstColumn="1" w:lastColumn="0" w:noHBand="0" w:noVBand="1"/>
      </w:tblPr>
      <w:tblGrid>
        <w:gridCol w:w="8452"/>
        <w:gridCol w:w="1830"/>
      </w:tblGrid>
      <w:tr w:rsidR="00012FC0" w:rsidRPr="00B85BC0" w14:paraId="05990FB4" w14:textId="77777777" w:rsidTr="00135138">
        <w:trPr>
          <w:tblHeader/>
          <w:jc w:val="center"/>
        </w:trPr>
        <w:tc>
          <w:tcPr>
            <w:tcW w:w="8452" w:type="dxa"/>
            <w:tcBorders>
              <w:top w:val="nil"/>
              <w:left w:val="nil"/>
              <w:bottom w:val="nil"/>
              <w:right w:val="nil"/>
            </w:tcBorders>
            <w:tcMar>
              <w:top w:w="28" w:type="dxa"/>
              <w:left w:w="0" w:type="dxa"/>
              <w:bottom w:w="0" w:type="dxa"/>
              <w:right w:w="0" w:type="dxa"/>
            </w:tcMar>
            <w:vAlign w:val="center"/>
          </w:tcPr>
          <w:p w14:paraId="323EA675" w14:textId="6022D2F7" w:rsidR="00012FC0" w:rsidRPr="00B85BC0" w:rsidRDefault="00010AF5" w:rsidP="00391EF9">
            <w:pPr>
              <w:keepNext/>
              <w:keepLines/>
              <w:spacing w:after="0" w:line="276" w:lineRule="auto"/>
              <w:rPr>
                <w:sz w:val="18"/>
                <w:szCs w:val="24"/>
              </w:rPr>
            </w:pPr>
            <w:r w:rsidRPr="00B85BC0">
              <w:rPr>
                <w:b/>
                <w:color w:val="000000"/>
                <w:sz w:val="18"/>
                <w:szCs w:val="24"/>
              </w:rPr>
              <w:t>Technical and HSE Services Manager, Engineering</w:t>
            </w:r>
            <w:r w:rsidRPr="00B85BC0">
              <w:rPr>
                <w:b/>
                <w:color w:val="275B87"/>
                <w:sz w:val="18"/>
                <w:szCs w:val="24"/>
              </w:rPr>
              <w:t>, Repsol</w:t>
            </w:r>
            <w:r w:rsidRPr="00B85BC0">
              <w:rPr>
                <w:color w:val="5F6C78"/>
                <w:sz w:val="18"/>
                <w:szCs w:val="24"/>
              </w:rPr>
              <w:t xml:space="preserve">  ·  Canada</w:t>
            </w:r>
          </w:p>
        </w:tc>
        <w:tc>
          <w:tcPr>
            <w:tcW w:w="1830" w:type="dxa"/>
            <w:tcBorders>
              <w:top w:val="nil"/>
              <w:left w:val="nil"/>
              <w:bottom w:val="nil"/>
              <w:right w:val="nil"/>
            </w:tcBorders>
            <w:tcMar>
              <w:top w:w="28" w:type="dxa"/>
              <w:left w:w="0" w:type="dxa"/>
              <w:bottom w:w="0" w:type="dxa"/>
              <w:right w:w="0" w:type="dxa"/>
            </w:tcMar>
            <w:vAlign w:val="center"/>
          </w:tcPr>
          <w:p w14:paraId="2884B178" w14:textId="77777777" w:rsidR="00012FC0" w:rsidRPr="00B85BC0" w:rsidRDefault="00010AF5" w:rsidP="00391EF9">
            <w:pPr>
              <w:keepNext/>
              <w:keepLines/>
              <w:spacing w:after="0" w:line="276" w:lineRule="auto"/>
              <w:jc w:val="right"/>
              <w:rPr>
                <w:sz w:val="18"/>
                <w:szCs w:val="24"/>
              </w:rPr>
            </w:pPr>
            <w:r w:rsidRPr="00B85BC0">
              <w:rPr>
                <w:i/>
                <w:color w:val="5F6C78"/>
                <w:sz w:val="18"/>
                <w:szCs w:val="24"/>
              </w:rPr>
              <w:t>Oct 2022 to Jun 2023</w:t>
            </w:r>
          </w:p>
        </w:tc>
      </w:tr>
    </w:tbl>
    <w:p w14:paraId="748A205C" w14:textId="77777777" w:rsidR="00012FC0" w:rsidRPr="00B85BC0" w:rsidRDefault="00010AF5" w:rsidP="00391EF9">
      <w:pPr>
        <w:pStyle w:val="ExecutiveRoleBody"/>
        <w:keepLines/>
        <w:numPr>
          <w:ilvl w:val="0"/>
          <w:numId w:val="1"/>
        </w:numPr>
        <w:spacing w:after="40" w:line="276" w:lineRule="auto"/>
        <w:ind w:left="317" w:hanging="173"/>
        <w:rPr>
          <w:sz w:val="18"/>
          <w:szCs w:val="24"/>
        </w:rPr>
      </w:pPr>
      <w:r w:rsidRPr="00B85BC0">
        <w:rPr>
          <w:sz w:val="18"/>
          <w:szCs w:val="24"/>
        </w:rPr>
        <w:t xml:space="preserve">Led integrated </w:t>
      </w:r>
      <w:r w:rsidRPr="00B85BC0">
        <w:rPr>
          <w:b/>
          <w:sz w:val="18"/>
          <w:szCs w:val="24"/>
        </w:rPr>
        <w:t>safety, environment, maintenance, reservoir, facilities, construction and information management</w:t>
      </w:r>
      <w:r w:rsidRPr="00B85BC0">
        <w:rPr>
          <w:sz w:val="18"/>
          <w:szCs w:val="24"/>
        </w:rPr>
        <w:t xml:space="preserve"> teams, including development support for the Edson unconventional gas project.</w:t>
      </w:r>
    </w:p>
    <w:p w14:paraId="72084D13" w14:textId="77777777" w:rsidR="00012FC0" w:rsidRPr="00B85BC0" w:rsidRDefault="00010AF5" w:rsidP="00391EF9">
      <w:pPr>
        <w:pStyle w:val="ExecutiveRoleBody"/>
        <w:keepLines/>
        <w:numPr>
          <w:ilvl w:val="0"/>
          <w:numId w:val="1"/>
        </w:numPr>
        <w:spacing w:after="40" w:line="276" w:lineRule="auto"/>
        <w:ind w:left="317" w:hanging="173"/>
        <w:rPr>
          <w:sz w:val="18"/>
          <w:szCs w:val="24"/>
        </w:rPr>
      </w:pPr>
      <w:r w:rsidRPr="00B85BC0">
        <w:rPr>
          <w:sz w:val="18"/>
          <w:szCs w:val="24"/>
        </w:rPr>
        <w:t xml:space="preserve">Achieved </w:t>
      </w:r>
      <w:r w:rsidRPr="00B85BC0">
        <w:rPr>
          <w:b/>
          <w:sz w:val="18"/>
          <w:szCs w:val="24"/>
        </w:rPr>
        <w:t>20% reserves growth and 40% contingent resource increase</w:t>
      </w:r>
      <w:r w:rsidRPr="00B85BC0">
        <w:rPr>
          <w:sz w:val="18"/>
          <w:szCs w:val="24"/>
        </w:rPr>
        <w:t xml:space="preserve"> through disciplined technical evaluation, project framing and portfolio review.</w:t>
      </w:r>
    </w:p>
    <w:tbl>
      <w:tblPr>
        <w:tblW w:w="10282" w:type="dxa"/>
        <w:jc w:val="center"/>
        <w:tblBorders>
          <w:top w:val="nil"/>
          <w:left w:val="nil"/>
          <w:bottom w:val="nil"/>
          <w:right w:val="nil"/>
          <w:insideH w:val="nil"/>
          <w:insideV w:val="nil"/>
        </w:tblBorders>
        <w:tblLayout w:type="fixed"/>
        <w:tblLook w:val="04A0" w:firstRow="1" w:lastRow="0" w:firstColumn="1" w:lastColumn="0" w:noHBand="0" w:noVBand="1"/>
      </w:tblPr>
      <w:tblGrid>
        <w:gridCol w:w="8452"/>
        <w:gridCol w:w="1830"/>
      </w:tblGrid>
      <w:tr w:rsidR="00012FC0" w:rsidRPr="00B85BC0" w14:paraId="25B8A220" w14:textId="77777777" w:rsidTr="00135138">
        <w:trPr>
          <w:tblHeader/>
          <w:jc w:val="center"/>
        </w:trPr>
        <w:tc>
          <w:tcPr>
            <w:tcW w:w="8452" w:type="dxa"/>
            <w:tcBorders>
              <w:top w:val="nil"/>
              <w:left w:val="nil"/>
              <w:bottom w:val="nil"/>
              <w:right w:val="nil"/>
            </w:tcBorders>
            <w:tcMar>
              <w:top w:w="28" w:type="dxa"/>
              <w:left w:w="0" w:type="dxa"/>
              <w:bottom w:w="0" w:type="dxa"/>
              <w:right w:w="0" w:type="dxa"/>
            </w:tcMar>
            <w:vAlign w:val="center"/>
          </w:tcPr>
          <w:p w14:paraId="4381C238" w14:textId="5B29EFA0" w:rsidR="00012FC0" w:rsidRPr="00B85BC0" w:rsidRDefault="00010AF5" w:rsidP="00391EF9">
            <w:pPr>
              <w:keepNext/>
              <w:keepLines/>
              <w:spacing w:after="0" w:line="276" w:lineRule="auto"/>
              <w:rPr>
                <w:sz w:val="18"/>
                <w:szCs w:val="24"/>
              </w:rPr>
            </w:pPr>
            <w:r w:rsidRPr="00B85BC0">
              <w:rPr>
                <w:b/>
                <w:color w:val="000000"/>
                <w:sz w:val="18"/>
                <w:szCs w:val="24"/>
              </w:rPr>
              <w:t>Senior Asset Manager, Chauvin Mature Heavy Oil Asset</w:t>
            </w:r>
            <w:r w:rsidRPr="00B85BC0">
              <w:rPr>
                <w:b/>
                <w:color w:val="275B87"/>
                <w:sz w:val="18"/>
                <w:szCs w:val="24"/>
              </w:rPr>
              <w:t>, Repsol</w:t>
            </w:r>
            <w:r w:rsidRPr="00B85BC0">
              <w:rPr>
                <w:color w:val="5F6C78"/>
                <w:sz w:val="18"/>
                <w:szCs w:val="24"/>
              </w:rPr>
              <w:t xml:space="preserve">  ·  Alberta, Canada</w:t>
            </w:r>
          </w:p>
        </w:tc>
        <w:tc>
          <w:tcPr>
            <w:tcW w:w="1830" w:type="dxa"/>
            <w:tcBorders>
              <w:top w:val="nil"/>
              <w:left w:val="nil"/>
              <w:bottom w:val="nil"/>
              <w:right w:val="nil"/>
            </w:tcBorders>
            <w:tcMar>
              <w:top w:w="28" w:type="dxa"/>
              <w:left w:w="0" w:type="dxa"/>
              <w:bottom w:w="0" w:type="dxa"/>
              <w:right w:w="0" w:type="dxa"/>
            </w:tcMar>
            <w:vAlign w:val="center"/>
          </w:tcPr>
          <w:p w14:paraId="6404C2F8" w14:textId="77777777" w:rsidR="00012FC0" w:rsidRPr="00B85BC0" w:rsidRDefault="00010AF5" w:rsidP="00391EF9">
            <w:pPr>
              <w:keepNext/>
              <w:keepLines/>
              <w:spacing w:after="0" w:line="276" w:lineRule="auto"/>
              <w:jc w:val="right"/>
              <w:rPr>
                <w:sz w:val="18"/>
                <w:szCs w:val="24"/>
              </w:rPr>
            </w:pPr>
            <w:r w:rsidRPr="00B85BC0">
              <w:rPr>
                <w:i/>
                <w:color w:val="5F6C78"/>
                <w:sz w:val="18"/>
                <w:szCs w:val="24"/>
              </w:rPr>
              <w:t>Mar 2021 to Oct 2022</w:t>
            </w:r>
          </w:p>
        </w:tc>
      </w:tr>
    </w:tbl>
    <w:p w14:paraId="57D3A9B7" w14:textId="77777777" w:rsidR="00012FC0" w:rsidRPr="00B85BC0" w:rsidRDefault="00010AF5" w:rsidP="00391EF9">
      <w:pPr>
        <w:pStyle w:val="ExecutiveRoleBody"/>
        <w:keepLines/>
        <w:numPr>
          <w:ilvl w:val="0"/>
          <w:numId w:val="1"/>
        </w:numPr>
        <w:spacing w:after="40" w:line="276" w:lineRule="auto"/>
        <w:ind w:left="317" w:hanging="173"/>
        <w:rPr>
          <w:sz w:val="18"/>
          <w:szCs w:val="24"/>
        </w:rPr>
      </w:pPr>
      <w:r w:rsidRPr="00B85BC0">
        <w:rPr>
          <w:sz w:val="18"/>
          <w:szCs w:val="24"/>
        </w:rPr>
        <w:t xml:space="preserve">Led operations, maintenance, engineering, facilities, HSE and commercial interfaces for a mature Alberta asset with </w:t>
      </w:r>
      <w:r w:rsidRPr="00B85BC0">
        <w:rPr>
          <w:b/>
          <w:sz w:val="18"/>
          <w:szCs w:val="24"/>
        </w:rPr>
        <w:t>more than 200 personnel</w:t>
      </w:r>
      <w:r w:rsidRPr="00B85BC0">
        <w:rPr>
          <w:sz w:val="18"/>
          <w:szCs w:val="24"/>
        </w:rPr>
        <w:t>, including terminal and pipeline connections to Hardisty.</w:t>
      </w:r>
    </w:p>
    <w:p w14:paraId="6E22BB34" w14:textId="77777777" w:rsidR="00012FC0" w:rsidRPr="00B85BC0" w:rsidRDefault="00010AF5" w:rsidP="00391EF9">
      <w:pPr>
        <w:pStyle w:val="ExecutiveRoleBody"/>
        <w:keepLines/>
        <w:numPr>
          <w:ilvl w:val="0"/>
          <w:numId w:val="1"/>
        </w:numPr>
        <w:spacing w:after="40" w:line="276" w:lineRule="auto"/>
        <w:ind w:left="317" w:hanging="173"/>
        <w:rPr>
          <w:sz w:val="18"/>
          <w:szCs w:val="24"/>
        </w:rPr>
      </w:pPr>
      <w:r w:rsidRPr="00B85BC0">
        <w:rPr>
          <w:sz w:val="18"/>
          <w:szCs w:val="24"/>
        </w:rPr>
        <w:t xml:space="preserve">Delivered </w:t>
      </w:r>
      <w:r w:rsidRPr="00B85BC0">
        <w:rPr>
          <w:b/>
          <w:sz w:val="18"/>
          <w:szCs w:val="24"/>
        </w:rPr>
        <w:t>top quartile HSE performance with zero lost time incidents</w:t>
      </w:r>
      <w:r w:rsidRPr="00B85BC0">
        <w:rPr>
          <w:sz w:val="18"/>
          <w:szCs w:val="24"/>
        </w:rPr>
        <w:t xml:space="preserve"> while improving production efficiency through waterflooding, mature field optimization and disciplined execution.</w:t>
      </w:r>
    </w:p>
    <w:p w14:paraId="5D0331C7" w14:textId="77777777" w:rsidR="005A794D" w:rsidRPr="00B85BC0" w:rsidRDefault="00010AF5" w:rsidP="00391EF9">
      <w:pPr>
        <w:pStyle w:val="ExecutiveSectionBar"/>
        <w:keepLines/>
        <w:pageBreakBefore/>
        <w:shd w:val="clear" w:color="auto" w:fill="214E75"/>
        <w:spacing w:line="276" w:lineRule="auto"/>
        <w:rPr>
          <w:sz w:val="24"/>
          <w:szCs w:val="24"/>
        </w:rPr>
      </w:pPr>
      <w:r w:rsidRPr="00B85BC0">
        <w:rPr>
          <w:sz w:val="24"/>
          <w:szCs w:val="24"/>
        </w:rPr>
        <w:lastRenderedPageBreak/>
        <w:t>PROFESSIONAL EXPERIENCE CONTINUED</w:t>
      </w:r>
    </w:p>
    <w:tbl>
      <w:tblPr>
        <w:tblW w:w="10282" w:type="dxa"/>
        <w:jc w:val="center"/>
        <w:tblBorders>
          <w:top w:val="nil"/>
          <w:left w:val="nil"/>
          <w:bottom w:val="nil"/>
          <w:right w:val="nil"/>
          <w:insideH w:val="nil"/>
          <w:insideV w:val="nil"/>
        </w:tblBorders>
        <w:tblLayout w:type="fixed"/>
        <w:tblLook w:val="04A0" w:firstRow="1" w:lastRow="0" w:firstColumn="1" w:lastColumn="0" w:noHBand="0" w:noVBand="1"/>
      </w:tblPr>
      <w:tblGrid>
        <w:gridCol w:w="8452"/>
        <w:gridCol w:w="1830"/>
      </w:tblGrid>
      <w:tr w:rsidR="00012FC0" w:rsidRPr="00B85BC0" w14:paraId="1A8F58A7" w14:textId="77777777" w:rsidTr="00135138">
        <w:trPr>
          <w:tblHeader/>
          <w:jc w:val="center"/>
        </w:trPr>
        <w:tc>
          <w:tcPr>
            <w:tcW w:w="8452" w:type="dxa"/>
            <w:tcBorders>
              <w:top w:val="nil"/>
              <w:left w:val="nil"/>
              <w:bottom w:val="nil"/>
              <w:right w:val="nil"/>
            </w:tcBorders>
            <w:tcMar>
              <w:top w:w="28" w:type="dxa"/>
              <w:left w:w="0" w:type="dxa"/>
              <w:bottom w:w="0" w:type="dxa"/>
              <w:right w:w="0" w:type="dxa"/>
            </w:tcMar>
            <w:vAlign w:val="center"/>
          </w:tcPr>
          <w:p w14:paraId="26064B3B" w14:textId="2F9825F8" w:rsidR="00012FC0" w:rsidRPr="00B85BC0" w:rsidRDefault="00010AF5" w:rsidP="00391EF9">
            <w:pPr>
              <w:keepNext/>
              <w:keepLines/>
              <w:spacing w:after="0" w:line="276" w:lineRule="auto"/>
              <w:rPr>
                <w:sz w:val="18"/>
                <w:szCs w:val="24"/>
              </w:rPr>
            </w:pPr>
            <w:r w:rsidRPr="00B85BC0">
              <w:rPr>
                <w:b/>
                <w:color w:val="000000"/>
                <w:sz w:val="18"/>
                <w:szCs w:val="24"/>
              </w:rPr>
              <w:t>Zero Based Budget Senior Manager, Eagle Ford Business Unit</w:t>
            </w:r>
            <w:r w:rsidRPr="00B85BC0">
              <w:rPr>
                <w:b/>
                <w:color w:val="275B87"/>
                <w:sz w:val="18"/>
                <w:szCs w:val="24"/>
              </w:rPr>
              <w:t>, Repsol</w:t>
            </w:r>
            <w:r w:rsidRPr="00B85BC0">
              <w:rPr>
                <w:color w:val="5F6C78"/>
                <w:sz w:val="18"/>
                <w:szCs w:val="24"/>
              </w:rPr>
              <w:t xml:space="preserve">  ·  Texas, USA</w:t>
            </w:r>
          </w:p>
        </w:tc>
        <w:tc>
          <w:tcPr>
            <w:tcW w:w="1830" w:type="dxa"/>
            <w:tcBorders>
              <w:top w:val="nil"/>
              <w:left w:val="nil"/>
              <w:bottom w:val="nil"/>
              <w:right w:val="nil"/>
            </w:tcBorders>
            <w:tcMar>
              <w:top w:w="28" w:type="dxa"/>
              <w:left w:w="0" w:type="dxa"/>
              <w:bottom w:w="0" w:type="dxa"/>
              <w:right w:w="0" w:type="dxa"/>
            </w:tcMar>
            <w:vAlign w:val="center"/>
          </w:tcPr>
          <w:p w14:paraId="5A80CEEE" w14:textId="77777777" w:rsidR="00012FC0" w:rsidRPr="00B85BC0" w:rsidRDefault="00010AF5" w:rsidP="00391EF9">
            <w:pPr>
              <w:keepNext/>
              <w:keepLines/>
              <w:spacing w:after="0" w:line="276" w:lineRule="auto"/>
              <w:jc w:val="right"/>
              <w:rPr>
                <w:sz w:val="18"/>
                <w:szCs w:val="24"/>
              </w:rPr>
            </w:pPr>
            <w:r w:rsidRPr="00B85BC0">
              <w:rPr>
                <w:i/>
                <w:color w:val="5F6C78"/>
                <w:sz w:val="18"/>
                <w:szCs w:val="24"/>
              </w:rPr>
              <w:t>Jun 2020 to Mar 2021</w:t>
            </w:r>
          </w:p>
        </w:tc>
      </w:tr>
    </w:tbl>
    <w:p w14:paraId="6C7332BC" w14:textId="77777777" w:rsidR="00012FC0" w:rsidRPr="00B85BC0" w:rsidRDefault="00010AF5" w:rsidP="00391EF9">
      <w:pPr>
        <w:pStyle w:val="ExecutiveRoleBody"/>
        <w:keepLines/>
        <w:numPr>
          <w:ilvl w:val="0"/>
          <w:numId w:val="1"/>
        </w:numPr>
        <w:spacing w:after="40" w:line="276" w:lineRule="auto"/>
        <w:ind w:left="317" w:hanging="173"/>
        <w:rPr>
          <w:sz w:val="18"/>
          <w:szCs w:val="24"/>
        </w:rPr>
      </w:pPr>
      <w:r w:rsidRPr="00B85BC0">
        <w:rPr>
          <w:sz w:val="18"/>
          <w:szCs w:val="24"/>
        </w:rPr>
        <w:t>Directed post-acquisition budgeting and transformation workstreams to protect continuity and convert efficiency targets into executable asset plans.</w:t>
      </w:r>
    </w:p>
    <w:p w14:paraId="1A6E42A5" w14:textId="77777777" w:rsidR="00012FC0" w:rsidRPr="00B85BC0" w:rsidRDefault="00010AF5" w:rsidP="00391EF9">
      <w:pPr>
        <w:pStyle w:val="ExecutiveRoleBody"/>
        <w:keepLines/>
        <w:numPr>
          <w:ilvl w:val="0"/>
          <w:numId w:val="1"/>
        </w:numPr>
        <w:spacing w:after="40" w:line="276" w:lineRule="auto"/>
        <w:ind w:left="317" w:hanging="173"/>
        <w:rPr>
          <w:sz w:val="18"/>
          <w:szCs w:val="24"/>
        </w:rPr>
      </w:pPr>
      <w:r w:rsidRPr="00B85BC0">
        <w:rPr>
          <w:b/>
          <w:sz w:val="18"/>
          <w:szCs w:val="24"/>
        </w:rPr>
        <w:t>Reduced OPEX by 40%</w:t>
      </w:r>
      <w:r w:rsidRPr="00B85BC0">
        <w:rPr>
          <w:sz w:val="18"/>
          <w:szCs w:val="24"/>
        </w:rPr>
        <w:t xml:space="preserve"> through maintenance optimization, vendor rationalization, activity prioritization and operating model efficiencies.</w:t>
      </w:r>
    </w:p>
    <w:tbl>
      <w:tblPr>
        <w:tblW w:w="10282" w:type="dxa"/>
        <w:jc w:val="center"/>
        <w:tblBorders>
          <w:top w:val="nil"/>
          <w:left w:val="nil"/>
          <w:bottom w:val="nil"/>
          <w:right w:val="nil"/>
          <w:insideH w:val="nil"/>
          <w:insideV w:val="nil"/>
        </w:tblBorders>
        <w:tblLayout w:type="fixed"/>
        <w:tblLook w:val="04A0" w:firstRow="1" w:lastRow="0" w:firstColumn="1" w:lastColumn="0" w:noHBand="0" w:noVBand="1"/>
      </w:tblPr>
      <w:tblGrid>
        <w:gridCol w:w="8452"/>
        <w:gridCol w:w="1830"/>
      </w:tblGrid>
      <w:tr w:rsidR="00012FC0" w:rsidRPr="00B85BC0" w14:paraId="4BF6BA26" w14:textId="77777777" w:rsidTr="00135138">
        <w:trPr>
          <w:tblHeader/>
          <w:jc w:val="center"/>
        </w:trPr>
        <w:tc>
          <w:tcPr>
            <w:tcW w:w="8452" w:type="dxa"/>
            <w:tcBorders>
              <w:top w:val="nil"/>
              <w:left w:val="nil"/>
              <w:bottom w:val="nil"/>
              <w:right w:val="nil"/>
            </w:tcBorders>
            <w:tcMar>
              <w:top w:w="28" w:type="dxa"/>
              <w:left w:w="0" w:type="dxa"/>
              <w:bottom w:w="0" w:type="dxa"/>
              <w:right w:w="0" w:type="dxa"/>
            </w:tcMar>
            <w:vAlign w:val="center"/>
          </w:tcPr>
          <w:p w14:paraId="12FF8099" w14:textId="16AAB95E" w:rsidR="00012FC0" w:rsidRPr="00B85BC0" w:rsidRDefault="00010AF5" w:rsidP="00391EF9">
            <w:pPr>
              <w:keepNext/>
              <w:keepLines/>
              <w:spacing w:after="0" w:line="276" w:lineRule="auto"/>
              <w:rPr>
                <w:sz w:val="18"/>
                <w:szCs w:val="24"/>
              </w:rPr>
            </w:pPr>
            <w:r w:rsidRPr="00B85BC0">
              <w:rPr>
                <w:b/>
                <w:color w:val="000000"/>
                <w:sz w:val="18"/>
                <w:szCs w:val="24"/>
              </w:rPr>
              <w:t>Senior Project Manager, Akacias Extra Heavy Oil Development</w:t>
            </w:r>
            <w:r w:rsidRPr="00B85BC0">
              <w:rPr>
                <w:b/>
                <w:color w:val="275B87"/>
                <w:sz w:val="18"/>
                <w:szCs w:val="24"/>
              </w:rPr>
              <w:t>, Repsol and Ecopetrol</w:t>
            </w:r>
            <w:r w:rsidRPr="00B85BC0">
              <w:rPr>
                <w:color w:val="5F6C78"/>
                <w:sz w:val="18"/>
                <w:szCs w:val="24"/>
              </w:rPr>
              <w:t xml:space="preserve">  ·  Colombia</w:t>
            </w:r>
          </w:p>
        </w:tc>
        <w:tc>
          <w:tcPr>
            <w:tcW w:w="1830" w:type="dxa"/>
            <w:tcBorders>
              <w:top w:val="nil"/>
              <w:left w:val="nil"/>
              <w:bottom w:val="nil"/>
              <w:right w:val="nil"/>
            </w:tcBorders>
            <w:tcMar>
              <w:top w:w="28" w:type="dxa"/>
              <w:left w:w="0" w:type="dxa"/>
              <w:bottom w:w="0" w:type="dxa"/>
              <w:right w:w="0" w:type="dxa"/>
            </w:tcMar>
            <w:vAlign w:val="center"/>
          </w:tcPr>
          <w:p w14:paraId="6EF51A16" w14:textId="77777777" w:rsidR="00012FC0" w:rsidRPr="00B85BC0" w:rsidRDefault="00010AF5" w:rsidP="00391EF9">
            <w:pPr>
              <w:keepNext/>
              <w:keepLines/>
              <w:spacing w:after="0" w:line="276" w:lineRule="auto"/>
              <w:jc w:val="right"/>
              <w:rPr>
                <w:sz w:val="18"/>
                <w:szCs w:val="24"/>
              </w:rPr>
            </w:pPr>
            <w:r w:rsidRPr="00B85BC0">
              <w:rPr>
                <w:i/>
                <w:color w:val="5F6C78"/>
                <w:sz w:val="18"/>
                <w:szCs w:val="24"/>
              </w:rPr>
              <w:t>Apr 2019 to Jun 2020</w:t>
            </w:r>
          </w:p>
        </w:tc>
      </w:tr>
    </w:tbl>
    <w:p w14:paraId="437155E8" w14:textId="77777777" w:rsidR="00012FC0" w:rsidRPr="00B85BC0" w:rsidRDefault="00010AF5" w:rsidP="00391EF9">
      <w:pPr>
        <w:pStyle w:val="ExecutiveRoleBody"/>
        <w:keepLines/>
        <w:numPr>
          <w:ilvl w:val="0"/>
          <w:numId w:val="1"/>
        </w:numPr>
        <w:spacing w:after="40" w:line="276" w:lineRule="auto"/>
        <w:ind w:left="317" w:hanging="173"/>
        <w:rPr>
          <w:sz w:val="18"/>
          <w:szCs w:val="24"/>
        </w:rPr>
      </w:pPr>
      <w:r w:rsidRPr="00B85BC0">
        <w:rPr>
          <w:sz w:val="18"/>
          <w:szCs w:val="24"/>
        </w:rPr>
        <w:t xml:space="preserve">Led multidisciplinary subsurface, drilling, facilities, production and commercial teams from </w:t>
      </w:r>
      <w:r w:rsidRPr="00B85BC0">
        <w:rPr>
          <w:b/>
          <w:sz w:val="18"/>
          <w:szCs w:val="24"/>
        </w:rPr>
        <w:t>business case and concept selection through field development planning</w:t>
      </w:r>
      <w:r w:rsidRPr="00B85BC0">
        <w:rPr>
          <w:sz w:val="18"/>
          <w:szCs w:val="24"/>
        </w:rPr>
        <w:t>.</w:t>
      </w:r>
    </w:p>
    <w:p w14:paraId="6DF98184" w14:textId="77777777" w:rsidR="00012FC0" w:rsidRPr="00B85BC0" w:rsidRDefault="00010AF5" w:rsidP="00391EF9">
      <w:pPr>
        <w:pStyle w:val="ExecutiveRoleBody"/>
        <w:keepLines/>
        <w:numPr>
          <w:ilvl w:val="0"/>
          <w:numId w:val="1"/>
        </w:numPr>
        <w:spacing w:after="40" w:line="276" w:lineRule="auto"/>
        <w:ind w:left="317" w:hanging="173"/>
        <w:rPr>
          <w:sz w:val="18"/>
          <w:szCs w:val="24"/>
        </w:rPr>
      </w:pPr>
      <w:r w:rsidRPr="00B85BC0">
        <w:rPr>
          <w:b/>
          <w:sz w:val="18"/>
          <w:szCs w:val="24"/>
        </w:rPr>
        <w:t>Secured FID with Ecopetrol</w:t>
      </w:r>
      <w:r w:rsidRPr="00B85BC0">
        <w:rPr>
          <w:sz w:val="18"/>
          <w:szCs w:val="24"/>
        </w:rPr>
        <w:t xml:space="preserve"> by aligning technical scope, economics, stakeholders and project governance.</w:t>
      </w:r>
    </w:p>
    <w:tbl>
      <w:tblPr>
        <w:tblW w:w="10282" w:type="dxa"/>
        <w:jc w:val="center"/>
        <w:tblBorders>
          <w:top w:val="nil"/>
          <w:left w:val="nil"/>
          <w:bottom w:val="nil"/>
          <w:right w:val="nil"/>
          <w:insideH w:val="nil"/>
          <w:insideV w:val="nil"/>
        </w:tblBorders>
        <w:tblLayout w:type="fixed"/>
        <w:tblLook w:val="04A0" w:firstRow="1" w:lastRow="0" w:firstColumn="1" w:lastColumn="0" w:noHBand="0" w:noVBand="1"/>
      </w:tblPr>
      <w:tblGrid>
        <w:gridCol w:w="8452"/>
        <w:gridCol w:w="1830"/>
      </w:tblGrid>
      <w:tr w:rsidR="00012FC0" w:rsidRPr="00B85BC0" w14:paraId="0B79B570" w14:textId="77777777" w:rsidTr="00135138">
        <w:trPr>
          <w:tblHeader/>
          <w:jc w:val="center"/>
        </w:trPr>
        <w:tc>
          <w:tcPr>
            <w:tcW w:w="8452" w:type="dxa"/>
            <w:tcBorders>
              <w:top w:val="nil"/>
              <w:left w:val="nil"/>
              <w:bottom w:val="nil"/>
              <w:right w:val="nil"/>
            </w:tcBorders>
            <w:tcMar>
              <w:top w:w="28" w:type="dxa"/>
              <w:left w:w="0" w:type="dxa"/>
              <w:bottom w:w="0" w:type="dxa"/>
              <w:right w:w="0" w:type="dxa"/>
            </w:tcMar>
            <w:vAlign w:val="center"/>
          </w:tcPr>
          <w:p w14:paraId="17EA95CC" w14:textId="49DEE018" w:rsidR="00012FC0" w:rsidRPr="00B85BC0" w:rsidRDefault="00010AF5" w:rsidP="00391EF9">
            <w:pPr>
              <w:keepNext/>
              <w:keepLines/>
              <w:spacing w:after="0" w:line="276" w:lineRule="auto"/>
              <w:rPr>
                <w:sz w:val="18"/>
                <w:szCs w:val="24"/>
              </w:rPr>
            </w:pPr>
            <w:r w:rsidRPr="00B85BC0">
              <w:rPr>
                <w:b/>
                <w:color w:val="000000"/>
                <w:sz w:val="18"/>
                <w:szCs w:val="24"/>
              </w:rPr>
              <w:t>Senior Manager, Commissioning and Start Up, Reggane North</w:t>
            </w:r>
            <w:r w:rsidRPr="00B85BC0">
              <w:rPr>
                <w:b/>
                <w:color w:val="275B87"/>
                <w:sz w:val="18"/>
                <w:szCs w:val="24"/>
              </w:rPr>
              <w:t>, Repsol</w:t>
            </w:r>
            <w:r w:rsidRPr="00B85BC0">
              <w:rPr>
                <w:color w:val="5F6C78"/>
                <w:sz w:val="18"/>
                <w:szCs w:val="24"/>
              </w:rPr>
              <w:t xml:space="preserve">  ·  Algeria</w:t>
            </w:r>
          </w:p>
        </w:tc>
        <w:tc>
          <w:tcPr>
            <w:tcW w:w="1830" w:type="dxa"/>
            <w:tcBorders>
              <w:top w:val="nil"/>
              <w:left w:val="nil"/>
              <w:bottom w:val="nil"/>
              <w:right w:val="nil"/>
            </w:tcBorders>
            <w:tcMar>
              <w:top w:w="28" w:type="dxa"/>
              <w:left w:w="0" w:type="dxa"/>
              <w:bottom w:w="0" w:type="dxa"/>
              <w:right w:w="0" w:type="dxa"/>
            </w:tcMar>
            <w:vAlign w:val="center"/>
          </w:tcPr>
          <w:p w14:paraId="1D817BDE" w14:textId="77777777" w:rsidR="00012FC0" w:rsidRPr="00B85BC0" w:rsidRDefault="00010AF5" w:rsidP="00391EF9">
            <w:pPr>
              <w:keepNext/>
              <w:keepLines/>
              <w:spacing w:after="0" w:line="276" w:lineRule="auto"/>
              <w:jc w:val="right"/>
              <w:rPr>
                <w:sz w:val="18"/>
                <w:szCs w:val="24"/>
              </w:rPr>
            </w:pPr>
            <w:r w:rsidRPr="00B85BC0">
              <w:rPr>
                <w:i/>
                <w:color w:val="5F6C78"/>
                <w:sz w:val="18"/>
                <w:szCs w:val="24"/>
              </w:rPr>
              <w:t>Jul 2016 to Apr 2019</w:t>
            </w:r>
          </w:p>
        </w:tc>
      </w:tr>
    </w:tbl>
    <w:p w14:paraId="4024661E" w14:textId="77777777" w:rsidR="00012FC0" w:rsidRPr="00B85BC0" w:rsidRDefault="00010AF5" w:rsidP="00391EF9">
      <w:pPr>
        <w:pStyle w:val="ExecutiveRoleBody"/>
        <w:keepLines/>
        <w:numPr>
          <w:ilvl w:val="0"/>
          <w:numId w:val="1"/>
        </w:numPr>
        <w:spacing w:after="40" w:line="276" w:lineRule="auto"/>
        <w:ind w:left="317" w:hanging="173"/>
        <w:rPr>
          <w:sz w:val="18"/>
          <w:szCs w:val="24"/>
        </w:rPr>
      </w:pPr>
      <w:r w:rsidRPr="00B85BC0">
        <w:rPr>
          <w:sz w:val="18"/>
          <w:szCs w:val="24"/>
        </w:rPr>
        <w:t>Directed construction completion, commissioning, PSSR, start up and handover for a complex acid gas development, managing contractors and a workforce exceeding 5,000 at peak.</w:t>
      </w:r>
    </w:p>
    <w:p w14:paraId="4F6E55F4" w14:textId="77777777" w:rsidR="00012FC0" w:rsidRPr="00B85BC0" w:rsidRDefault="00010AF5" w:rsidP="00391EF9">
      <w:pPr>
        <w:pStyle w:val="ExecutiveRoleBody"/>
        <w:keepLines/>
        <w:numPr>
          <w:ilvl w:val="0"/>
          <w:numId w:val="1"/>
        </w:numPr>
        <w:spacing w:after="40" w:line="276" w:lineRule="auto"/>
        <w:ind w:left="317" w:hanging="173"/>
        <w:rPr>
          <w:sz w:val="18"/>
          <w:szCs w:val="24"/>
        </w:rPr>
      </w:pPr>
      <w:r w:rsidRPr="00B85BC0">
        <w:rPr>
          <w:b/>
          <w:sz w:val="18"/>
          <w:szCs w:val="24"/>
        </w:rPr>
        <w:t>Achieved first gas on schedule and budget with more than 35 million work hours without a lost time incident</w:t>
      </w:r>
      <w:r w:rsidRPr="00B85BC0">
        <w:rPr>
          <w:sz w:val="18"/>
          <w:szCs w:val="24"/>
        </w:rPr>
        <w:t>.</w:t>
      </w:r>
    </w:p>
    <w:tbl>
      <w:tblPr>
        <w:tblW w:w="10282" w:type="dxa"/>
        <w:jc w:val="center"/>
        <w:tblBorders>
          <w:top w:val="nil"/>
          <w:left w:val="nil"/>
          <w:bottom w:val="nil"/>
          <w:right w:val="nil"/>
          <w:insideH w:val="nil"/>
          <w:insideV w:val="nil"/>
        </w:tblBorders>
        <w:tblLayout w:type="fixed"/>
        <w:tblLook w:val="04A0" w:firstRow="1" w:lastRow="0" w:firstColumn="1" w:lastColumn="0" w:noHBand="0" w:noVBand="1"/>
      </w:tblPr>
      <w:tblGrid>
        <w:gridCol w:w="8452"/>
        <w:gridCol w:w="1830"/>
      </w:tblGrid>
      <w:tr w:rsidR="00012FC0" w:rsidRPr="00B85BC0" w14:paraId="4A99B7DF" w14:textId="77777777" w:rsidTr="00DD2F00">
        <w:trPr>
          <w:tblHeader/>
          <w:jc w:val="center"/>
        </w:trPr>
        <w:tc>
          <w:tcPr>
            <w:tcW w:w="8452" w:type="dxa"/>
            <w:tcBorders>
              <w:top w:val="nil"/>
              <w:left w:val="nil"/>
              <w:bottom w:val="nil"/>
              <w:right w:val="nil"/>
            </w:tcBorders>
            <w:tcMar>
              <w:top w:w="28" w:type="dxa"/>
              <w:left w:w="0" w:type="dxa"/>
              <w:bottom w:w="0" w:type="dxa"/>
              <w:right w:w="0" w:type="dxa"/>
            </w:tcMar>
            <w:vAlign w:val="center"/>
          </w:tcPr>
          <w:p w14:paraId="56E44F4D" w14:textId="1A1C0748" w:rsidR="00012FC0" w:rsidRPr="00B85BC0" w:rsidRDefault="00010AF5" w:rsidP="00391EF9">
            <w:pPr>
              <w:keepNext/>
              <w:keepLines/>
              <w:spacing w:after="0" w:line="276" w:lineRule="auto"/>
              <w:rPr>
                <w:sz w:val="18"/>
                <w:szCs w:val="24"/>
              </w:rPr>
            </w:pPr>
            <w:r w:rsidRPr="00B85BC0">
              <w:rPr>
                <w:b/>
                <w:color w:val="000000"/>
                <w:sz w:val="18"/>
                <w:szCs w:val="24"/>
              </w:rPr>
              <w:t>Production Manager, GTFT Wet Gas Operations</w:t>
            </w:r>
            <w:r w:rsidRPr="00B85BC0">
              <w:rPr>
                <w:b/>
                <w:color w:val="275B87"/>
                <w:sz w:val="18"/>
                <w:szCs w:val="24"/>
              </w:rPr>
              <w:t>, JV Sonatrach, Total and Repsol</w:t>
            </w:r>
            <w:r w:rsidRPr="00B85BC0">
              <w:rPr>
                <w:color w:val="5F6C78"/>
                <w:sz w:val="18"/>
                <w:szCs w:val="24"/>
              </w:rPr>
              <w:t xml:space="preserve">  ·  Algeria</w:t>
            </w:r>
          </w:p>
        </w:tc>
        <w:tc>
          <w:tcPr>
            <w:tcW w:w="1830" w:type="dxa"/>
            <w:tcBorders>
              <w:top w:val="nil"/>
              <w:left w:val="nil"/>
              <w:bottom w:val="nil"/>
              <w:right w:val="nil"/>
            </w:tcBorders>
            <w:tcMar>
              <w:top w:w="28" w:type="dxa"/>
              <w:left w:w="0" w:type="dxa"/>
              <w:bottom w:w="0" w:type="dxa"/>
              <w:right w:w="0" w:type="dxa"/>
            </w:tcMar>
            <w:vAlign w:val="center"/>
          </w:tcPr>
          <w:p w14:paraId="0FC318C3" w14:textId="77777777" w:rsidR="00012FC0" w:rsidRPr="00B85BC0" w:rsidRDefault="00010AF5" w:rsidP="00391EF9">
            <w:pPr>
              <w:keepNext/>
              <w:keepLines/>
              <w:spacing w:after="0" w:line="276" w:lineRule="auto"/>
              <w:jc w:val="right"/>
              <w:rPr>
                <w:sz w:val="18"/>
                <w:szCs w:val="24"/>
              </w:rPr>
            </w:pPr>
            <w:r w:rsidRPr="00B85BC0">
              <w:rPr>
                <w:i/>
                <w:color w:val="5F6C78"/>
                <w:sz w:val="18"/>
                <w:szCs w:val="24"/>
              </w:rPr>
              <w:t>Sep 2011 to Jul 2016</w:t>
            </w:r>
          </w:p>
        </w:tc>
      </w:tr>
    </w:tbl>
    <w:p w14:paraId="71FF52EF" w14:textId="77777777" w:rsidR="00012FC0" w:rsidRPr="00B85BC0" w:rsidRDefault="00010AF5" w:rsidP="00391EF9">
      <w:pPr>
        <w:pStyle w:val="ExecutiveRoleBody"/>
        <w:keepLines/>
        <w:numPr>
          <w:ilvl w:val="0"/>
          <w:numId w:val="1"/>
        </w:numPr>
        <w:spacing w:after="40" w:line="276" w:lineRule="auto"/>
        <w:ind w:left="317" w:hanging="173"/>
        <w:rPr>
          <w:sz w:val="18"/>
          <w:szCs w:val="24"/>
        </w:rPr>
      </w:pPr>
      <w:r w:rsidRPr="00B85BC0">
        <w:rPr>
          <w:sz w:val="18"/>
          <w:szCs w:val="24"/>
        </w:rPr>
        <w:t>Managed production, maintenance, shutdowns and facility upgrades for a high capacity wet gas treatment complex.</w:t>
      </w:r>
    </w:p>
    <w:p w14:paraId="6B1D7E1A" w14:textId="77777777" w:rsidR="00012FC0" w:rsidRPr="00B85BC0" w:rsidRDefault="00010AF5" w:rsidP="00391EF9">
      <w:pPr>
        <w:pStyle w:val="ExecutiveRoleBody"/>
        <w:keepLines/>
        <w:numPr>
          <w:ilvl w:val="0"/>
          <w:numId w:val="1"/>
        </w:numPr>
        <w:spacing w:after="40" w:line="276" w:lineRule="auto"/>
        <w:ind w:left="317" w:hanging="173"/>
        <w:rPr>
          <w:sz w:val="18"/>
          <w:szCs w:val="24"/>
        </w:rPr>
      </w:pPr>
      <w:r w:rsidRPr="00B85BC0">
        <w:rPr>
          <w:b/>
          <w:sz w:val="18"/>
          <w:szCs w:val="24"/>
        </w:rPr>
        <w:t>Improved plant efficiency from 82% to 99.5%</w:t>
      </w:r>
      <w:r w:rsidRPr="00B85BC0">
        <w:rPr>
          <w:sz w:val="18"/>
          <w:szCs w:val="24"/>
        </w:rPr>
        <w:t xml:space="preserve"> through operating discipline, reliability improvement and cross-functional execution.</w:t>
      </w:r>
    </w:p>
    <w:tbl>
      <w:tblPr>
        <w:tblW w:w="10282" w:type="dxa"/>
        <w:jc w:val="center"/>
        <w:tblBorders>
          <w:top w:val="nil"/>
          <w:left w:val="nil"/>
          <w:bottom w:val="nil"/>
          <w:right w:val="nil"/>
          <w:insideH w:val="nil"/>
          <w:insideV w:val="nil"/>
        </w:tblBorders>
        <w:tblLayout w:type="fixed"/>
        <w:tblLook w:val="04A0" w:firstRow="1" w:lastRow="0" w:firstColumn="1" w:lastColumn="0" w:noHBand="0" w:noVBand="1"/>
      </w:tblPr>
      <w:tblGrid>
        <w:gridCol w:w="8452"/>
        <w:gridCol w:w="1830"/>
      </w:tblGrid>
      <w:tr w:rsidR="00012FC0" w:rsidRPr="00B85BC0" w14:paraId="1EDC163C" w14:textId="77777777" w:rsidTr="00135138">
        <w:trPr>
          <w:tblHeader/>
          <w:jc w:val="center"/>
        </w:trPr>
        <w:tc>
          <w:tcPr>
            <w:tcW w:w="8452" w:type="dxa"/>
            <w:tcBorders>
              <w:top w:val="nil"/>
              <w:left w:val="nil"/>
              <w:bottom w:val="nil"/>
              <w:right w:val="nil"/>
            </w:tcBorders>
            <w:tcMar>
              <w:top w:w="28" w:type="dxa"/>
              <w:left w:w="0" w:type="dxa"/>
              <w:bottom w:w="0" w:type="dxa"/>
              <w:right w:w="0" w:type="dxa"/>
            </w:tcMar>
            <w:vAlign w:val="center"/>
          </w:tcPr>
          <w:p w14:paraId="657B9F35" w14:textId="40C46EEC" w:rsidR="00012FC0" w:rsidRPr="00B85BC0" w:rsidRDefault="00010AF5" w:rsidP="00391EF9">
            <w:pPr>
              <w:keepNext/>
              <w:keepLines/>
              <w:spacing w:after="0" w:line="276" w:lineRule="auto"/>
              <w:rPr>
                <w:sz w:val="18"/>
                <w:szCs w:val="24"/>
              </w:rPr>
            </w:pPr>
            <w:r w:rsidRPr="00B85BC0">
              <w:rPr>
                <w:b/>
                <w:color w:val="000000"/>
                <w:sz w:val="18"/>
                <w:szCs w:val="24"/>
              </w:rPr>
              <w:t>Production Foreman, Akakus Oil Operations</w:t>
            </w:r>
            <w:r w:rsidRPr="00B85BC0">
              <w:rPr>
                <w:b/>
                <w:color w:val="275B87"/>
                <w:sz w:val="18"/>
                <w:szCs w:val="24"/>
              </w:rPr>
              <w:t>, JV Total, ONV, Equinor, NOC and Repsol</w:t>
            </w:r>
            <w:r w:rsidRPr="00B85BC0">
              <w:rPr>
                <w:color w:val="5F6C78"/>
                <w:sz w:val="18"/>
                <w:szCs w:val="24"/>
              </w:rPr>
              <w:t xml:space="preserve">  ·  Libya</w:t>
            </w:r>
          </w:p>
        </w:tc>
        <w:tc>
          <w:tcPr>
            <w:tcW w:w="1830" w:type="dxa"/>
            <w:tcBorders>
              <w:top w:val="nil"/>
              <w:left w:val="nil"/>
              <w:bottom w:val="nil"/>
              <w:right w:val="nil"/>
            </w:tcBorders>
            <w:tcMar>
              <w:top w:w="28" w:type="dxa"/>
              <w:left w:w="0" w:type="dxa"/>
              <w:bottom w:w="0" w:type="dxa"/>
              <w:right w:w="0" w:type="dxa"/>
            </w:tcMar>
            <w:vAlign w:val="center"/>
          </w:tcPr>
          <w:p w14:paraId="5297A685" w14:textId="77777777" w:rsidR="00012FC0" w:rsidRPr="00B85BC0" w:rsidRDefault="00010AF5" w:rsidP="00391EF9">
            <w:pPr>
              <w:keepNext/>
              <w:keepLines/>
              <w:spacing w:after="0" w:line="276" w:lineRule="auto"/>
              <w:jc w:val="right"/>
              <w:rPr>
                <w:sz w:val="18"/>
                <w:szCs w:val="24"/>
              </w:rPr>
            </w:pPr>
            <w:r w:rsidRPr="00B85BC0">
              <w:rPr>
                <w:i/>
                <w:color w:val="5F6C78"/>
                <w:sz w:val="18"/>
                <w:szCs w:val="24"/>
              </w:rPr>
              <w:t>Jan 2008 to Sep 2011</w:t>
            </w:r>
          </w:p>
        </w:tc>
      </w:tr>
    </w:tbl>
    <w:p w14:paraId="4B1BE42C" w14:textId="77777777" w:rsidR="00012FC0" w:rsidRPr="00B85BC0" w:rsidRDefault="00010AF5" w:rsidP="00391EF9">
      <w:pPr>
        <w:pStyle w:val="ExecutiveRoleBody"/>
        <w:keepLines/>
        <w:numPr>
          <w:ilvl w:val="0"/>
          <w:numId w:val="1"/>
        </w:numPr>
        <w:spacing w:after="40" w:line="276" w:lineRule="auto"/>
        <w:ind w:left="317" w:hanging="173"/>
        <w:rPr>
          <w:sz w:val="18"/>
          <w:szCs w:val="24"/>
        </w:rPr>
      </w:pPr>
      <w:r w:rsidRPr="00B85BC0">
        <w:rPr>
          <w:sz w:val="18"/>
          <w:szCs w:val="24"/>
        </w:rPr>
        <w:t>Managed daily field operations and interfaces for a complex oil production system and approximately 700 km of pipeline infrastructure.</w:t>
      </w:r>
    </w:p>
    <w:p w14:paraId="080D3ABD" w14:textId="77777777" w:rsidR="00012FC0" w:rsidRPr="00B85BC0" w:rsidRDefault="00010AF5" w:rsidP="00391EF9">
      <w:pPr>
        <w:pStyle w:val="ExecutiveRoleBody"/>
        <w:keepLines/>
        <w:numPr>
          <w:ilvl w:val="0"/>
          <w:numId w:val="1"/>
        </w:numPr>
        <w:spacing w:after="40" w:line="276" w:lineRule="auto"/>
        <w:ind w:left="317" w:hanging="173"/>
        <w:rPr>
          <w:sz w:val="18"/>
          <w:szCs w:val="24"/>
        </w:rPr>
      </w:pPr>
      <w:r w:rsidRPr="00B85BC0">
        <w:rPr>
          <w:b/>
          <w:sz w:val="18"/>
          <w:szCs w:val="24"/>
        </w:rPr>
        <w:t>Recovered 5,000 barrels per day of condensate</w:t>
      </w:r>
      <w:r w:rsidRPr="00B85BC0">
        <w:rPr>
          <w:sz w:val="18"/>
          <w:szCs w:val="24"/>
        </w:rPr>
        <w:t xml:space="preserve"> by improving gas compression reliability and optimizing ABB turbine operation.</w:t>
      </w:r>
    </w:p>
    <w:tbl>
      <w:tblPr>
        <w:tblW w:w="10282" w:type="dxa"/>
        <w:jc w:val="center"/>
        <w:tblBorders>
          <w:top w:val="nil"/>
          <w:left w:val="nil"/>
          <w:bottom w:val="nil"/>
          <w:right w:val="nil"/>
          <w:insideH w:val="nil"/>
          <w:insideV w:val="nil"/>
        </w:tblBorders>
        <w:tblLayout w:type="fixed"/>
        <w:tblLook w:val="04A0" w:firstRow="1" w:lastRow="0" w:firstColumn="1" w:lastColumn="0" w:noHBand="0" w:noVBand="1"/>
      </w:tblPr>
      <w:tblGrid>
        <w:gridCol w:w="8452"/>
        <w:gridCol w:w="1830"/>
      </w:tblGrid>
      <w:tr w:rsidR="00012FC0" w:rsidRPr="00B85BC0" w14:paraId="65C712C9" w14:textId="77777777" w:rsidTr="00135138">
        <w:trPr>
          <w:tblHeader/>
          <w:jc w:val="center"/>
        </w:trPr>
        <w:tc>
          <w:tcPr>
            <w:tcW w:w="8452" w:type="dxa"/>
            <w:tcBorders>
              <w:top w:val="nil"/>
              <w:left w:val="nil"/>
              <w:bottom w:val="nil"/>
              <w:right w:val="nil"/>
            </w:tcBorders>
            <w:tcMar>
              <w:top w:w="28" w:type="dxa"/>
              <w:left w:w="0" w:type="dxa"/>
              <w:bottom w:w="0" w:type="dxa"/>
              <w:right w:w="0" w:type="dxa"/>
            </w:tcMar>
            <w:vAlign w:val="center"/>
          </w:tcPr>
          <w:p w14:paraId="7E931476" w14:textId="42059B3F" w:rsidR="00012FC0" w:rsidRPr="00B85BC0" w:rsidRDefault="00010AF5" w:rsidP="00391EF9">
            <w:pPr>
              <w:keepNext/>
              <w:keepLines/>
              <w:spacing w:after="0" w:line="276" w:lineRule="auto"/>
              <w:rPr>
                <w:sz w:val="18"/>
                <w:szCs w:val="24"/>
              </w:rPr>
            </w:pPr>
            <w:r w:rsidRPr="00B85BC0">
              <w:rPr>
                <w:b/>
                <w:color w:val="000000"/>
                <w:sz w:val="18"/>
                <w:szCs w:val="24"/>
              </w:rPr>
              <w:t>Production Coordinator, Block 16 Heavy Oil Operations</w:t>
            </w:r>
            <w:r w:rsidRPr="00B85BC0">
              <w:rPr>
                <w:b/>
                <w:color w:val="275B87"/>
                <w:sz w:val="18"/>
                <w:szCs w:val="24"/>
              </w:rPr>
              <w:t>, Repsol</w:t>
            </w:r>
            <w:r w:rsidRPr="00B85BC0">
              <w:rPr>
                <w:color w:val="5F6C78"/>
                <w:sz w:val="18"/>
                <w:szCs w:val="24"/>
              </w:rPr>
              <w:t xml:space="preserve">  ·  Ecuador</w:t>
            </w:r>
          </w:p>
        </w:tc>
        <w:tc>
          <w:tcPr>
            <w:tcW w:w="1830" w:type="dxa"/>
            <w:tcBorders>
              <w:top w:val="nil"/>
              <w:left w:val="nil"/>
              <w:bottom w:val="nil"/>
              <w:right w:val="nil"/>
            </w:tcBorders>
            <w:tcMar>
              <w:top w:w="28" w:type="dxa"/>
              <w:left w:w="0" w:type="dxa"/>
              <w:bottom w:w="0" w:type="dxa"/>
              <w:right w:w="0" w:type="dxa"/>
            </w:tcMar>
            <w:vAlign w:val="center"/>
          </w:tcPr>
          <w:p w14:paraId="6B84EEB9" w14:textId="77777777" w:rsidR="00012FC0" w:rsidRPr="00B85BC0" w:rsidRDefault="00010AF5" w:rsidP="00391EF9">
            <w:pPr>
              <w:keepNext/>
              <w:keepLines/>
              <w:spacing w:after="0" w:line="276" w:lineRule="auto"/>
              <w:jc w:val="right"/>
              <w:rPr>
                <w:sz w:val="18"/>
                <w:szCs w:val="24"/>
              </w:rPr>
            </w:pPr>
            <w:r w:rsidRPr="00B85BC0">
              <w:rPr>
                <w:i/>
                <w:color w:val="5F6C78"/>
                <w:sz w:val="18"/>
                <w:szCs w:val="24"/>
              </w:rPr>
              <w:t>Aug 2005 to Jan 2008</w:t>
            </w:r>
          </w:p>
        </w:tc>
      </w:tr>
    </w:tbl>
    <w:p w14:paraId="720CED15" w14:textId="77777777" w:rsidR="00012FC0" w:rsidRPr="00B85BC0" w:rsidRDefault="00010AF5" w:rsidP="00391EF9">
      <w:pPr>
        <w:pStyle w:val="ExecutiveRoleBody"/>
        <w:keepLines/>
        <w:numPr>
          <w:ilvl w:val="0"/>
          <w:numId w:val="1"/>
        </w:numPr>
        <w:spacing w:after="40" w:line="276" w:lineRule="auto"/>
        <w:ind w:left="317" w:hanging="173"/>
        <w:rPr>
          <w:sz w:val="18"/>
          <w:szCs w:val="24"/>
        </w:rPr>
      </w:pPr>
      <w:r w:rsidRPr="00B85BC0">
        <w:rPr>
          <w:b/>
          <w:sz w:val="18"/>
          <w:szCs w:val="24"/>
        </w:rPr>
        <w:t>Delivered record field production of 63,000 barrels per day</w:t>
      </w:r>
      <w:r w:rsidRPr="00B85BC0">
        <w:rPr>
          <w:sz w:val="18"/>
          <w:szCs w:val="24"/>
        </w:rPr>
        <w:t xml:space="preserve"> through process optimization, operating discipline and rigorous execution.</w:t>
      </w:r>
    </w:p>
    <w:p w14:paraId="3DFAF678" w14:textId="1FC7FD79" w:rsidR="00012FC0" w:rsidRPr="00B85BC0" w:rsidRDefault="00010AF5" w:rsidP="00391EF9">
      <w:pPr>
        <w:pStyle w:val="ExecutiveSectionBar"/>
        <w:keepLines/>
        <w:shd w:val="clear" w:color="auto" w:fill="214E75"/>
        <w:spacing w:before="200" w:after="120" w:line="276" w:lineRule="auto"/>
        <w:rPr>
          <w:sz w:val="24"/>
          <w:szCs w:val="24"/>
        </w:rPr>
      </w:pPr>
      <w:r w:rsidRPr="00B85BC0">
        <w:rPr>
          <w:sz w:val="24"/>
          <w:szCs w:val="24"/>
        </w:rPr>
        <w:t>EDUCATION AND DATA DEVELOPMENT</w:t>
      </w:r>
    </w:p>
    <w:p w14:paraId="06A8E334" w14:textId="19112226" w:rsidR="00012FC0" w:rsidRPr="00B85BC0" w:rsidRDefault="00010AF5" w:rsidP="00391EF9">
      <w:pPr>
        <w:pStyle w:val="ExecutiveDetailLine"/>
        <w:keepLines/>
        <w:spacing w:before="100" w:after="0" w:line="276" w:lineRule="auto"/>
        <w:rPr>
          <w:sz w:val="18"/>
          <w:szCs w:val="24"/>
        </w:rPr>
      </w:pPr>
      <w:r w:rsidRPr="00B85BC0">
        <w:rPr>
          <w:b/>
          <w:color w:val="000000"/>
          <w:sz w:val="18"/>
          <w:szCs w:val="24"/>
        </w:rPr>
        <w:t xml:space="preserve">Mechanical Engineering, </w:t>
      </w:r>
      <w:r w:rsidRPr="00B85BC0">
        <w:rPr>
          <w:color w:val="5F6C78"/>
          <w:sz w:val="18"/>
          <w:szCs w:val="24"/>
        </w:rPr>
        <w:t>Escuela Politecnica del Ejercito, Ecuador</w:t>
      </w:r>
    </w:p>
    <w:p w14:paraId="44B99A14" w14:textId="58ED92E2" w:rsidR="00012FC0" w:rsidRPr="00B85BC0" w:rsidRDefault="00010AF5" w:rsidP="00391EF9">
      <w:pPr>
        <w:pStyle w:val="ExecutiveDetailLine"/>
        <w:keepLines/>
        <w:spacing w:before="100" w:after="0" w:line="276" w:lineRule="auto"/>
        <w:rPr>
          <w:sz w:val="18"/>
          <w:szCs w:val="24"/>
        </w:rPr>
      </w:pPr>
      <w:r w:rsidRPr="00B85BC0">
        <w:rPr>
          <w:b/>
          <w:color w:val="000000"/>
          <w:sz w:val="18"/>
          <w:szCs w:val="24"/>
        </w:rPr>
        <w:t xml:space="preserve">MSc Petroleum Refining, Gas and Marketing, </w:t>
      </w:r>
      <w:r w:rsidRPr="00B85BC0">
        <w:rPr>
          <w:color w:val="5F6C78"/>
          <w:sz w:val="18"/>
          <w:szCs w:val="24"/>
        </w:rPr>
        <w:t>Instituto Superior de la Energia, Spain</w:t>
      </w:r>
    </w:p>
    <w:p w14:paraId="2AF92D8E" w14:textId="72DB7B66" w:rsidR="00012FC0" w:rsidRPr="00B85BC0" w:rsidRDefault="00010AF5" w:rsidP="00391EF9">
      <w:pPr>
        <w:pStyle w:val="ExecutiveDetailLine"/>
        <w:keepLines/>
        <w:spacing w:before="100" w:after="0" w:line="276" w:lineRule="auto"/>
        <w:rPr>
          <w:sz w:val="18"/>
          <w:szCs w:val="24"/>
        </w:rPr>
      </w:pPr>
      <w:r w:rsidRPr="00B85BC0">
        <w:rPr>
          <w:b/>
          <w:color w:val="000000"/>
          <w:sz w:val="18"/>
          <w:szCs w:val="24"/>
        </w:rPr>
        <w:t xml:space="preserve">Data for Business, Data Analysis, </w:t>
      </w:r>
      <w:r w:rsidRPr="00B85BC0">
        <w:rPr>
          <w:color w:val="5F6C78"/>
          <w:sz w:val="18"/>
          <w:szCs w:val="24"/>
        </w:rPr>
        <w:t>ISDI, Spain  ·  PPDM Unlocking Data Careers, GeoLOGIC, Canada</w:t>
      </w:r>
    </w:p>
    <w:p w14:paraId="497DF05D" w14:textId="79A40DFD" w:rsidR="00012FC0" w:rsidRPr="00B85BC0" w:rsidRDefault="00010AF5" w:rsidP="00391EF9">
      <w:pPr>
        <w:pStyle w:val="ExecutiveDetailLine"/>
        <w:keepLines/>
        <w:spacing w:before="100" w:after="0" w:line="276" w:lineRule="auto"/>
        <w:rPr>
          <w:sz w:val="18"/>
          <w:szCs w:val="24"/>
        </w:rPr>
      </w:pPr>
      <w:r w:rsidRPr="00B85BC0">
        <w:rPr>
          <w:b/>
          <w:color w:val="000000"/>
          <w:sz w:val="18"/>
          <w:szCs w:val="24"/>
        </w:rPr>
        <w:t xml:space="preserve">English as a Second Language, </w:t>
      </w:r>
      <w:r w:rsidRPr="00B85BC0">
        <w:rPr>
          <w:color w:val="5F6C78"/>
          <w:sz w:val="18"/>
          <w:szCs w:val="24"/>
        </w:rPr>
        <w:t>Niagara College, Canada</w:t>
      </w:r>
    </w:p>
    <w:p w14:paraId="7F7AF008" w14:textId="77777777" w:rsidR="00012FC0" w:rsidRPr="00B85BC0" w:rsidRDefault="00010AF5" w:rsidP="00391EF9">
      <w:pPr>
        <w:pStyle w:val="ExecutiveSectionBar"/>
        <w:keepLines/>
        <w:shd w:val="clear" w:color="auto" w:fill="214E75"/>
        <w:spacing w:before="200" w:after="120" w:line="276" w:lineRule="auto"/>
        <w:rPr>
          <w:sz w:val="24"/>
          <w:szCs w:val="24"/>
        </w:rPr>
      </w:pPr>
      <w:r w:rsidRPr="00B85BC0">
        <w:rPr>
          <w:sz w:val="24"/>
          <w:szCs w:val="24"/>
        </w:rPr>
        <w:t>CERTIFICATIONS AND PROFESSIONAL DEVELOPMENT</w:t>
      </w:r>
    </w:p>
    <w:p w14:paraId="72D8B9A4" w14:textId="20CA4BA9" w:rsidR="00012FC0" w:rsidRPr="00B85BC0" w:rsidRDefault="00010AF5" w:rsidP="00391EF9">
      <w:pPr>
        <w:pStyle w:val="ExecutiveDetailLine"/>
        <w:keepLines/>
        <w:spacing w:before="100" w:after="0" w:line="276" w:lineRule="auto"/>
        <w:rPr>
          <w:sz w:val="18"/>
          <w:szCs w:val="24"/>
        </w:rPr>
      </w:pPr>
      <w:r w:rsidRPr="00B85BC0">
        <w:rPr>
          <w:b/>
          <w:color w:val="000000"/>
          <w:sz w:val="18"/>
          <w:szCs w:val="24"/>
        </w:rPr>
        <w:t xml:space="preserve">Project Management Professional PMP®, </w:t>
      </w:r>
      <w:r w:rsidRPr="00B85BC0">
        <w:rPr>
          <w:color w:val="5F6C78"/>
          <w:sz w:val="18"/>
          <w:szCs w:val="24"/>
        </w:rPr>
        <w:t>Project Management Institute</w:t>
      </w:r>
    </w:p>
    <w:p w14:paraId="3E4A9F06" w14:textId="39E743BA" w:rsidR="00012FC0" w:rsidRPr="00B85BC0" w:rsidRDefault="00010AF5" w:rsidP="00391EF9">
      <w:pPr>
        <w:pStyle w:val="ExecutiveDetailLine"/>
        <w:keepLines/>
        <w:spacing w:before="100" w:after="0" w:line="276" w:lineRule="auto"/>
        <w:rPr>
          <w:sz w:val="18"/>
          <w:szCs w:val="24"/>
        </w:rPr>
      </w:pPr>
      <w:r w:rsidRPr="00B85BC0">
        <w:rPr>
          <w:b/>
          <w:color w:val="000000"/>
          <w:sz w:val="18"/>
          <w:szCs w:val="24"/>
        </w:rPr>
        <w:t xml:space="preserve">Professional engineering licensure, </w:t>
      </w:r>
      <w:r w:rsidRPr="00B85BC0">
        <w:rPr>
          <w:color w:val="5F6C78"/>
          <w:sz w:val="18"/>
          <w:szCs w:val="24"/>
        </w:rPr>
        <w:t>APEGA application in progress</w:t>
      </w:r>
    </w:p>
    <w:p w14:paraId="1938B77E" w14:textId="51DF9619" w:rsidR="00012FC0" w:rsidRPr="00B85BC0" w:rsidRDefault="00010AF5" w:rsidP="00391EF9">
      <w:pPr>
        <w:pStyle w:val="ExecutiveDetailLine"/>
        <w:keepLines/>
        <w:spacing w:before="100" w:after="0" w:line="276" w:lineRule="auto"/>
        <w:rPr>
          <w:sz w:val="18"/>
          <w:szCs w:val="24"/>
        </w:rPr>
      </w:pPr>
      <w:r w:rsidRPr="00B85BC0">
        <w:rPr>
          <w:b/>
          <w:color w:val="000000"/>
          <w:sz w:val="18"/>
          <w:szCs w:val="24"/>
        </w:rPr>
        <w:t xml:space="preserve">Safety, </w:t>
      </w:r>
      <w:r w:rsidRPr="00B85BC0">
        <w:rPr>
          <w:color w:val="5F6C78"/>
          <w:sz w:val="18"/>
          <w:szCs w:val="24"/>
        </w:rPr>
        <w:t>Process Hazard Analysis for Team Leaders  ·  First Aid  ·  H2S  ·  ICS 200</w:t>
      </w:r>
    </w:p>
    <w:p w14:paraId="5DE55B2D" w14:textId="797DD577" w:rsidR="00012FC0" w:rsidRPr="00B85BC0" w:rsidRDefault="00010AF5" w:rsidP="00391EF9">
      <w:pPr>
        <w:pStyle w:val="ExecutiveDetailLine"/>
        <w:keepLines/>
        <w:spacing w:before="100" w:after="0" w:line="276" w:lineRule="auto"/>
        <w:rPr>
          <w:sz w:val="18"/>
          <w:szCs w:val="24"/>
        </w:rPr>
      </w:pPr>
      <w:r w:rsidRPr="00B85BC0">
        <w:rPr>
          <w:b/>
          <w:color w:val="000000"/>
          <w:sz w:val="18"/>
          <w:szCs w:val="24"/>
        </w:rPr>
        <w:t xml:space="preserve">Facilitation, </w:t>
      </w:r>
      <w:r w:rsidRPr="00B85BC0">
        <w:rPr>
          <w:color w:val="5F6C78"/>
          <w:sz w:val="18"/>
          <w:szCs w:val="24"/>
        </w:rPr>
        <w:t>Group process facilitation and facilitation with metaphors</w:t>
      </w:r>
    </w:p>
    <w:p w14:paraId="42E7B1FA" w14:textId="77777777" w:rsidR="00012FC0" w:rsidRPr="00B85BC0" w:rsidRDefault="00010AF5" w:rsidP="00391EF9">
      <w:pPr>
        <w:pStyle w:val="ExecutiveSectionBar"/>
        <w:keepLines/>
        <w:shd w:val="clear" w:color="auto" w:fill="214E75"/>
        <w:spacing w:before="200" w:after="120" w:line="276" w:lineRule="auto"/>
        <w:rPr>
          <w:sz w:val="24"/>
          <w:szCs w:val="24"/>
        </w:rPr>
      </w:pPr>
      <w:r w:rsidRPr="00B85BC0">
        <w:rPr>
          <w:sz w:val="24"/>
          <w:szCs w:val="24"/>
        </w:rPr>
        <w:t>CORE COMPETENCIES</w:t>
      </w:r>
    </w:p>
    <w:p w14:paraId="4DA39B7C" w14:textId="77777777" w:rsidR="00012FC0" w:rsidRPr="00B85BC0" w:rsidRDefault="00010AF5" w:rsidP="00391EF9">
      <w:pPr>
        <w:pStyle w:val="ExecutiveAchievementBullet"/>
        <w:keepLines/>
        <w:numPr>
          <w:ilvl w:val="0"/>
          <w:numId w:val="1"/>
        </w:numPr>
        <w:spacing w:after="40" w:line="276" w:lineRule="auto"/>
        <w:ind w:left="259" w:hanging="259"/>
        <w:rPr>
          <w:sz w:val="18"/>
          <w:szCs w:val="24"/>
        </w:rPr>
      </w:pPr>
      <w:r w:rsidRPr="00B85BC0">
        <w:rPr>
          <w:b/>
          <w:sz w:val="18"/>
          <w:szCs w:val="24"/>
        </w:rPr>
        <w:t>Project delivery</w:t>
      </w:r>
      <w:r w:rsidRPr="00B85BC0">
        <w:rPr>
          <w:sz w:val="18"/>
          <w:szCs w:val="24"/>
        </w:rPr>
        <w:t>, business case, FEL, FID, execution, commissioning, start up, turnover and handover.</w:t>
      </w:r>
    </w:p>
    <w:p w14:paraId="1890D1D2" w14:textId="77777777" w:rsidR="00012FC0" w:rsidRPr="00B85BC0" w:rsidRDefault="00010AF5" w:rsidP="00391EF9">
      <w:pPr>
        <w:pStyle w:val="ExecutiveAchievementBullet"/>
        <w:keepLines/>
        <w:numPr>
          <w:ilvl w:val="0"/>
          <w:numId w:val="1"/>
        </w:numPr>
        <w:spacing w:after="40" w:line="276" w:lineRule="auto"/>
        <w:ind w:left="259" w:hanging="259"/>
        <w:rPr>
          <w:sz w:val="18"/>
          <w:szCs w:val="24"/>
        </w:rPr>
      </w:pPr>
      <w:r w:rsidRPr="00B85BC0">
        <w:rPr>
          <w:b/>
          <w:sz w:val="18"/>
          <w:szCs w:val="24"/>
        </w:rPr>
        <w:t>Canadian operations</w:t>
      </w:r>
      <w:r w:rsidRPr="00B85BC0">
        <w:rPr>
          <w:sz w:val="18"/>
          <w:szCs w:val="24"/>
        </w:rPr>
        <w:t>, mature heavy oil, unconventional gas development, winter operations, terminals and pipelines.</w:t>
      </w:r>
    </w:p>
    <w:p w14:paraId="06CE1CBD" w14:textId="77777777" w:rsidR="00012FC0" w:rsidRPr="00B85BC0" w:rsidRDefault="00010AF5" w:rsidP="00391EF9">
      <w:pPr>
        <w:pStyle w:val="ExecutiveAchievementBullet"/>
        <w:keepLines/>
        <w:numPr>
          <w:ilvl w:val="0"/>
          <w:numId w:val="1"/>
        </w:numPr>
        <w:spacing w:after="40" w:line="276" w:lineRule="auto"/>
        <w:ind w:left="259" w:hanging="259"/>
        <w:rPr>
          <w:sz w:val="18"/>
          <w:szCs w:val="24"/>
        </w:rPr>
      </w:pPr>
      <w:r w:rsidRPr="00B85BC0">
        <w:rPr>
          <w:b/>
          <w:sz w:val="18"/>
          <w:szCs w:val="24"/>
        </w:rPr>
        <w:t>Process safety</w:t>
      </w:r>
      <w:r w:rsidRPr="00B85BC0">
        <w:rPr>
          <w:sz w:val="18"/>
          <w:szCs w:val="24"/>
        </w:rPr>
        <w:t>, HSE leadership, PHA, MOC, PSSR, risk management, asset integrity and contractor control.</w:t>
      </w:r>
    </w:p>
    <w:p w14:paraId="2C314206" w14:textId="77777777" w:rsidR="00012FC0" w:rsidRPr="00B85BC0" w:rsidRDefault="00010AF5" w:rsidP="00391EF9">
      <w:pPr>
        <w:pStyle w:val="ExecutiveAchievementBullet"/>
        <w:keepLines/>
        <w:numPr>
          <w:ilvl w:val="0"/>
          <w:numId w:val="1"/>
        </w:numPr>
        <w:spacing w:after="40" w:line="276" w:lineRule="auto"/>
        <w:ind w:left="259" w:hanging="259"/>
        <w:rPr>
          <w:sz w:val="18"/>
          <w:szCs w:val="24"/>
        </w:rPr>
      </w:pPr>
      <w:r w:rsidRPr="00B85BC0">
        <w:rPr>
          <w:b/>
          <w:sz w:val="18"/>
          <w:szCs w:val="24"/>
        </w:rPr>
        <w:t>Asset performance</w:t>
      </w:r>
      <w:r w:rsidRPr="00B85BC0">
        <w:rPr>
          <w:sz w:val="18"/>
          <w:szCs w:val="24"/>
        </w:rPr>
        <w:t>, reliability, maintenance prioritization, shutdowns, production optimization and water handling.</w:t>
      </w:r>
    </w:p>
    <w:p w14:paraId="78BE9EF7" w14:textId="77777777" w:rsidR="00012FC0" w:rsidRPr="00B85BC0" w:rsidRDefault="00010AF5" w:rsidP="00391EF9">
      <w:pPr>
        <w:pStyle w:val="ExecutiveAchievementBullet"/>
        <w:keepLines/>
        <w:numPr>
          <w:ilvl w:val="0"/>
          <w:numId w:val="1"/>
        </w:numPr>
        <w:spacing w:after="40" w:line="276" w:lineRule="auto"/>
        <w:ind w:left="259" w:hanging="259"/>
        <w:rPr>
          <w:sz w:val="18"/>
          <w:szCs w:val="24"/>
        </w:rPr>
      </w:pPr>
      <w:r w:rsidRPr="00B85BC0">
        <w:rPr>
          <w:b/>
          <w:sz w:val="18"/>
          <w:szCs w:val="24"/>
        </w:rPr>
        <w:t>Facilities and pipelines</w:t>
      </w:r>
      <w:r w:rsidRPr="00B85BC0">
        <w:rPr>
          <w:sz w:val="18"/>
          <w:szCs w:val="24"/>
        </w:rPr>
        <w:t>, pumping, compression, rotating equipment, brownfield upgrades, testing and operational readiness.</w:t>
      </w:r>
    </w:p>
    <w:p w14:paraId="43E5722D" w14:textId="77777777" w:rsidR="00012FC0" w:rsidRPr="00B85BC0" w:rsidRDefault="00010AF5" w:rsidP="00391EF9">
      <w:pPr>
        <w:pStyle w:val="ExecutiveAchievementBullet"/>
        <w:keepLines/>
        <w:numPr>
          <w:ilvl w:val="0"/>
          <w:numId w:val="1"/>
        </w:numPr>
        <w:spacing w:after="40" w:line="276" w:lineRule="auto"/>
        <w:ind w:left="259" w:hanging="259"/>
        <w:rPr>
          <w:sz w:val="18"/>
          <w:szCs w:val="24"/>
        </w:rPr>
      </w:pPr>
      <w:r w:rsidRPr="00B85BC0">
        <w:rPr>
          <w:b/>
          <w:sz w:val="18"/>
          <w:szCs w:val="24"/>
        </w:rPr>
        <w:t>Commercial discipline</w:t>
      </w:r>
      <w:r w:rsidRPr="00B85BC0">
        <w:rPr>
          <w:sz w:val="18"/>
          <w:szCs w:val="24"/>
        </w:rPr>
        <w:t>, OPEX and CAPEX control, budgeting, estimating, change control, claims and capital allocation.</w:t>
      </w:r>
    </w:p>
    <w:p w14:paraId="5459F958" w14:textId="77777777" w:rsidR="00012FC0" w:rsidRPr="00B85BC0" w:rsidRDefault="00010AF5" w:rsidP="00391EF9">
      <w:pPr>
        <w:pStyle w:val="ExecutiveAchievementBullet"/>
        <w:keepLines/>
        <w:numPr>
          <w:ilvl w:val="0"/>
          <w:numId w:val="1"/>
        </w:numPr>
        <w:spacing w:after="40" w:line="276" w:lineRule="auto"/>
        <w:ind w:left="259" w:hanging="259"/>
        <w:rPr>
          <w:sz w:val="18"/>
          <w:szCs w:val="24"/>
        </w:rPr>
      </w:pPr>
      <w:r w:rsidRPr="00B85BC0">
        <w:rPr>
          <w:b/>
          <w:sz w:val="18"/>
          <w:szCs w:val="24"/>
        </w:rPr>
        <w:t>Leadership and stakeholders</w:t>
      </w:r>
      <w:r w:rsidRPr="00B85BC0">
        <w:rPr>
          <w:sz w:val="18"/>
          <w:szCs w:val="24"/>
        </w:rPr>
        <w:t>, multidisciplinary teams, joint ventures, regulators, partners, vendors and facilitation.</w:t>
      </w:r>
    </w:p>
    <w:p w14:paraId="1ABF8C5F" w14:textId="77777777" w:rsidR="00012FC0" w:rsidRPr="00B85BC0" w:rsidRDefault="00010AF5" w:rsidP="00391EF9">
      <w:pPr>
        <w:pStyle w:val="ExecutiveAchievementBullet"/>
        <w:keepLines/>
        <w:numPr>
          <w:ilvl w:val="0"/>
          <w:numId w:val="1"/>
        </w:numPr>
        <w:spacing w:after="40" w:line="276" w:lineRule="auto"/>
        <w:ind w:left="259" w:hanging="259"/>
        <w:rPr>
          <w:sz w:val="18"/>
          <w:szCs w:val="24"/>
        </w:rPr>
      </w:pPr>
      <w:r w:rsidRPr="00B85BC0">
        <w:rPr>
          <w:b/>
          <w:sz w:val="18"/>
          <w:szCs w:val="24"/>
        </w:rPr>
        <w:t>Technology and decision support</w:t>
      </w:r>
      <w:r w:rsidRPr="00B85BC0">
        <w:rPr>
          <w:sz w:val="18"/>
          <w:szCs w:val="24"/>
        </w:rPr>
        <w:t>, Power BI, SAP PM, Maximo, MS Project, Primavera P6, GE APM, AssetWise and SharePoint.</w:t>
      </w:r>
    </w:p>
    <w:p w14:paraId="4178E577" w14:textId="77777777" w:rsidR="00012FC0" w:rsidRPr="00B85BC0" w:rsidRDefault="00010AF5" w:rsidP="00391EF9">
      <w:pPr>
        <w:pStyle w:val="ExecutiveSectionBar"/>
        <w:keepLines/>
        <w:shd w:val="clear" w:color="auto" w:fill="214E75"/>
        <w:spacing w:before="200" w:after="120" w:line="276" w:lineRule="auto"/>
        <w:rPr>
          <w:sz w:val="24"/>
          <w:szCs w:val="24"/>
        </w:rPr>
      </w:pPr>
      <w:r w:rsidRPr="00B85BC0">
        <w:rPr>
          <w:sz w:val="24"/>
          <w:szCs w:val="24"/>
        </w:rPr>
        <w:t>LANGUAGES, AFFILIATIONS AND INTERESTS</w:t>
      </w:r>
    </w:p>
    <w:p w14:paraId="5607CE9C" w14:textId="77777777" w:rsidR="00012FC0" w:rsidRPr="00B85BC0" w:rsidRDefault="00010AF5" w:rsidP="00391EF9">
      <w:pPr>
        <w:pStyle w:val="ExecutiveDetailLine"/>
        <w:keepLines/>
        <w:spacing w:after="20" w:line="276" w:lineRule="auto"/>
        <w:rPr>
          <w:sz w:val="18"/>
          <w:szCs w:val="24"/>
        </w:rPr>
      </w:pPr>
      <w:r w:rsidRPr="00B85BC0">
        <w:rPr>
          <w:b/>
          <w:color w:val="000000"/>
          <w:sz w:val="18"/>
          <w:szCs w:val="24"/>
        </w:rPr>
        <w:t xml:space="preserve">Languages: </w:t>
      </w:r>
      <w:r w:rsidRPr="00B85BC0">
        <w:rPr>
          <w:color w:val="5F6C78"/>
          <w:sz w:val="18"/>
          <w:szCs w:val="24"/>
        </w:rPr>
        <w:t>Spanish native, English advanced, French proficient.</w:t>
      </w:r>
    </w:p>
    <w:p w14:paraId="048E2259" w14:textId="77777777" w:rsidR="00012FC0" w:rsidRPr="00B85BC0" w:rsidRDefault="00010AF5" w:rsidP="00391EF9">
      <w:pPr>
        <w:pStyle w:val="ExecutiveDetailLine"/>
        <w:keepLines/>
        <w:spacing w:after="20" w:line="276" w:lineRule="auto"/>
        <w:rPr>
          <w:sz w:val="18"/>
          <w:szCs w:val="24"/>
        </w:rPr>
      </w:pPr>
      <w:r w:rsidRPr="00B85BC0">
        <w:rPr>
          <w:b/>
          <w:color w:val="000000"/>
          <w:sz w:val="18"/>
          <w:szCs w:val="24"/>
        </w:rPr>
        <w:t xml:space="preserve">Affiliations: </w:t>
      </w:r>
      <w:r w:rsidRPr="00B85BC0">
        <w:rPr>
          <w:color w:val="5F6C78"/>
          <w:sz w:val="18"/>
          <w:szCs w:val="24"/>
        </w:rPr>
        <w:t>PMI, SPE, IAF, World Scout Movement and Interamerican Scout Foundation.</w:t>
      </w:r>
    </w:p>
    <w:p w14:paraId="5BC8647B" w14:textId="77777777" w:rsidR="00012FC0" w:rsidRPr="00B85BC0" w:rsidRDefault="00010AF5" w:rsidP="00391EF9">
      <w:pPr>
        <w:pStyle w:val="ExecutiveDetailLine"/>
        <w:keepLines/>
        <w:spacing w:after="20" w:line="276" w:lineRule="auto"/>
        <w:rPr>
          <w:sz w:val="18"/>
          <w:szCs w:val="24"/>
        </w:rPr>
      </w:pPr>
      <w:r w:rsidRPr="00B85BC0">
        <w:rPr>
          <w:b/>
          <w:color w:val="000000"/>
          <w:sz w:val="18"/>
          <w:szCs w:val="24"/>
        </w:rPr>
        <w:t xml:space="preserve">Interests: </w:t>
      </w:r>
      <w:r w:rsidRPr="00B85BC0">
        <w:rPr>
          <w:color w:val="5F6C78"/>
          <w:sz w:val="18"/>
          <w:szCs w:val="24"/>
        </w:rPr>
        <w:t>Field operations innovation, artificial intelligence, conservation, trekking, cycling and 3D printing.</w:t>
      </w:r>
    </w:p>
    <w:sectPr w:rsidR="00012FC0" w:rsidRPr="00B85BC0" w:rsidSect="00A35379">
      <w:footerReference w:type="default" r:id="rId8"/>
      <w:pgSz w:w="12240" w:h="15840"/>
      <w:pgMar w:top="605" w:right="270" w:bottom="360" w:left="979" w:header="259"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8E129" w14:textId="77777777" w:rsidR="00010AF5" w:rsidRDefault="00010AF5">
      <w:pPr>
        <w:spacing w:after="0"/>
      </w:pPr>
      <w:r>
        <w:separator/>
      </w:r>
    </w:p>
  </w:endnote>
  <w:endnote w:type="continuationSeparator" w:id="0">
    <w:p w14:paraId="7DCBCCD6" w14:textId="77777777" w:rsidR="00010AF5" w:rsidRDefault="00010AF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CBE26" w14:textId="2A54F7DC" w:rsidR="005A794D" w:rsidRDefault="00010AF5">
    <w:pPr>
      <w:pStyle w:val="Footer"/>
      <w:jc w:val="right"/>
    </w:pPr>
    <w:r>
      <w:rPr>
        <w:b/>
        <w:color w:val="77828D"/>
        <w:sz w:val="15"/>
      </w:rPr>
      <w:t xml:space="preserve">JUAN MANUEL </w:t>
    </w:r>
    <w:proofErr w:type="gramStart"/>
    <w:r>
      <w:rPr>
        <w:b/>
        <w:color w:val="77828D"/>
        <w:sz w:val="15"/>
      </w:rPr>
      <w:t>GALARZA  •</w:t>
    </w:r>
    <w:proofErr w:type="gramEnd"/>
    <w:r>
      <w:rPr>
        <w:b/>
        <w:color w:val="77828D"/>
        <w:sz w:val="15"/>
      </w:rPr>
      <w:t xml:space="preserve">  </w:t>
    </w:r>
    <w:r>
      <w:rPr>
        <w:color w:val="77828D"/>
        <w:sz w:val="15"/>
      </w:rPr>
      <w:fldChar w:fldCharType="begin"/>
    </w:r>
    <w:r>
      <w:rPr>
        <w:color w:val="77828D"/>
        <w:sz w:val="15"/>
      </w:rPr>
      <w:instrText xml:space="preserve"> PAGE </w:instrText>
    </w:r>
    <w:r w:rsidR="00B85BC0">
      <w:rPr>
        <w:color w:val="77828D"/>
        <w:sz w:val="15"/>
      </w:rPr>
      <w:fldChar w:fldCharType="separate"/>
    </w:r>
    <w:r w:rsidR="00B85BC0">
      <w:rPr>
        <w:noProof/>
        <w:color w:val="77828D"/>
        <w:sz w:val="15"/>
      </w:rPr>
      <w:t>1</w:t>
    </w:r>
    <w:r>
      <w:rPr>
        <w:color w:val="77828D"/>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79315" w14:textId="77777777" w:rsidR="00010AF5" w:rsidRDefault="00010AF5">
      <w:pPr>
        <w:spacing w:after="0"/>
      </w:pPr>
      <w:r>
        <w:separator/>
      </w:r>
    </w:p>
  </w:footnote>
  <w:footnote w:type="continuationSeparator" w:id="0">
    <w:p w14:paraId="5F73568D" w14:textId="77777777" w:rsidR="00010AF5" w:rsidRDefault="00010AF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A067071"/>
    <w:multiLevelType w:val="singleLevel"/>
    <w:tmpl w:val="D096A94A"/>
    <w:lvl w:ilvl="0">
      <w:start w:val="1"/>
      <w:numFmt w:val="bullet"/>
      <w:pStyle w:val="ListBullet"/>
      <w:lvlText w:val="•"/>
      <w:lvlJc w:val="left"/>
      <w:pPr>
        <w:tabs>
          <w:tab w:val="num" w:pos="285"/>
        </w:tabs>
        <w:spacing w:after="32" w:line="240" w:lineRule="auto"/>
        <w:ind w:left="285" w:hanging="165"/>
      </w:pPr>
      <w:rPr>
        <w:rFonts w:ascii="Arial" w:hAnsi="Arial"/>
        <w:color w:val="2F6EA6"/>
        <w:sz w:val="16"/>
      </w:rPr>
    </w:lvl>
  </w:abstractNum>
  <w:num w:numId="1" w16cid:durableId="11408794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0AF5"/>
    <w:rsid w:val="00012FC0"/>
    <w:rsid w:val="00034616"/>
    <w:rsid w:val="0006063C"/>
    <w:rsid w:val="00135138"/>
    <w:rsid w:val="0015074B"/>
    <w:rsid w:val="0029639D"/>
    <w:rsid w:val="00326F90"/>
    <w:rsid w:val="00391EF9"/>
    <w:rsid w:val="0056625F"/>
    <w:rsid w:val="005A794D"/>
    <w:rsid w:val="009568B2"/>
    <w:rsid w:val="009F2D07"/>
    <w:rsid w:val="00A35379"/>
    <w:rsid w:val="00AA1D8D"/>
    <w:rsid w:val="00AE09D4"/>
    <w:rsid w:val="00B47730"/>
    <w:rsid w:val="00B85BC0"/>
    <w:rsid w:val="00CB0664"/>
    <w:rsid w:val="00DC0352"/>
    <w:rsid w:val="00DD2F00"/>
    <w:rsid w:val="00F5422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1DA604"/>
  <w14:defaultImageDpi w14:val="300"/>
  <w15:docId w15:val="{59C2570D-08F8-4C17-8E0A-DD0F29FC1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32" w:line="240" w:lineRule="auto"/>
    </w:pPr>
    <w:rPr>
      <w:rFonts w:ascii="Arial" w:eastAsia="Arial" w:hAnsi="Arial"/>
      <w:color w:val="202427"/>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14E75"/>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14E75"/>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14E75"/>
      <w:sz w:val="1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b/>
      <w:color w:val="214E75"/>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Cs/>
      <w:color w:val="214E75"/>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xecutiveName">
    <w:name w:val="Executive Name"/>
    <w:pPr>
      <w:keepNext/>
      <w:spacing w:after="24"/>
      <w:jc w:val="center"/>
    </w:pPr>
    <w:rPr>
      <w:rFonts w:ascii="Arial" w:eastAsia="Arial" w:hAnsi="Arial"/>
      <w:b/>
      <w:color w:val="214E75"/>
      <w:sz w:val="52"/>
    </w:rPr>
  </w:style>
  <w:style w:type="paragraph" w:customStyle="1" w:styleId="ExecutiveTitle">
    <w:name w:val="Executive Title"/>
    <w:pPr>
      <w:keepNext/>
      <w:spacing w:after="50"/>
      <w:jc w:val="center"/>
    </w:pPr>
    <w:rPr>
      <w:rFonts w:ascii="Arial" w:eastAsia="Arial" w:hAnsi="Arial"/>
      <w:b/>
      <w:color w:val="202427"/>
    </w:rPr>
  </w:style>
  <w:style w:type="paragraph" w:customStyle="1" w:styleId="ExecutiveContact">
    <w:name w:val="Executive Contact"/>
    <w:pPr>
      <w:keepNext/>
      <w:spacing w:after="160"/>
      <w:jc w:val="center"/>
    </w:pPr>
    <w:rPr>
      <w:rFonts w:ascii="Arial" w:eastAsia="Arial" w:hAnsi="Arial"/>
      <w:color w:val="59636D"/>
      <w:sz w:val="17"/>
    </w:rPr>
  </w:style>
  <w:style w:type="paragraph" w:customStyle="1" w:styleId="ExecutiveSectionBar">
    <w:name w:val="Executive Section Bar"/>
    <w:pPr>
      <w:keepNext/>
      <w:spacing w:before="120" w:after="60" w:line="240" w:lineRule="auto"/>
      <w:ind w:firstLine="100"/>
    </w:pPr>
    <w:rPr>
      <w:rFonts w:ascii="Arial" w:eastAsia="Arial" w:hAnsi="Arial"/>
      <w:b/>
      <w:color w:val="FFFFFF"/>
    </w:rPr>
  </w:style>
  <w:style w:type="paragraph" w:customStyle="1" w:styleId="ExecutiveSummaryText">
    <w:name w:val="Executive Summary Text"/>
    <w:pPr>
      <w:spacing w:after="50" w:line="245" w:lineRule="auto"/>
    </w:pPr>
    <w:rPr>
      <w:rFonts w:ascii="Arial" w:eastAsia="Arial" w:hAnsi="Arial"/>
      <w:color w:val="202427"/>
      <w:sz w:val="17"/>
    </w:rPr>
  </w:style>
  <w:style w:type="paragraph" w:customStyle="1" w:styleId="ExecutiveRoleBody">
    <w:name w:val="Executive Role Body"/>
    <w:pPr>
      <w:spacing w:after="20" w:line="240" w:lineRule="auto"/>
    </w:pPr>
    <w:rPr>
      <w:rFonts w:ascii="Arial" w:eastAsia="Arial" w:hAnsi="Arial"/>
      <w:color w:val="202427"/>
      <w:sz w:val="16"/>
    </w:rPr>
  </w:style>
  <w:style w:type="paragraph" w:customStyle="1" w:styleId="ExecutiveAchievementBullet">
    <w:name w:val="Executive Achievement Bullet"/>
    <w:pPr>
      <w:spacing w:after="32" w:line="240" w:lineRule="auto"/>
    </w:pPr>
    <w:rPr>
      <w:rFonts w:ascii="Arial" w:eastAsia="Arial" w:hAnsi="Arial"/>
      <w:color w:val="202427"/>
      <w:sz w:val="16"/>
    </w:rPr>
  </w:style>
  <w:style w:type="paragraph" w:customStyle="1" w:styleId="ExecutiveDetailLine">
    <w:name w:val="Executive Detail Line"/>
    <w:pPr>
      <w:spacing w:after="30" w:line="240" w:lineRule="auto"/>
    </w:pPr>
    <w:rPr>
      <w:rFonts w:ascii="Arial" w:eastAsia="Arial" w:hAnsi="Arial"/>
      <w:color w:val="202427"/>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Pages>
  <Words>1056</Words>
  <Characters>6996</Characters>
  <Application>Microsoft Office Word</Application>
  <DocSecurity>0</DocSecurity>
  <Lines>112</Lines>
  <Paragraphs>94</Paragraphs>
  <ScaleCrop>false</ScaleCrop>
  <HeadingPairs>
    <vt:vector size="2" baseType="variant">
      <vt:variant>
        <vt:lpstr>Title</vt:lpstr>
      </vt:variant>
      <vt:variant>
        <vt:i4>1</vt:i4>
      </vt:variant>
    </vt:vector>
  </HeadingPairs>
  <TitlesOfParts>
    <vt:vector size="1" baseType="lpstr">
      <vt:lpstr>Juan Manuel Galarza Website Resume</vt:lpstr>
    </vt:vector>
  </TitlesOfParts>
  <Manager/>
  <Company/>
  <LinksUpToDate>false</LinksUpToDate>
  <CharactersWithSpaces>7958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Juan Manuel Galarza Website Resume</dc:title>
  <dc:subject>Project Operations and Asset Management Leadership</dc:subject>
  <dc:creator>Juan Manuel Galarza</dc:creator>
  <cp:keywords>project management, operations, asset management, process safety, commissioning, oil and gas, Calgary, PMP, Power BI, SAP PM, Maximo</cp:keywords>
  <dc:description>Hybrid format combining strong section architecture with executive impact highlights</dc:description>
  <cp:lastModifiedBy>Juan Manuel Galarza</cp:lastModifiedBy>
  <cp:revision>8</cp:revision>
  <cp:lastPrinted>2026-09-16T19:37:00Z</cp:lastPrinted>
  <dcterms:created xsi:type="dcterms:W3CDTF">2013-12-23T23:15:00Z</dcterms:created>
  <dcterms:modified xsi:type="dcterms:W3CDTF">2026-09-16T19:40:00Z</dcterms:modified>
  <cp:category/>
</cp:coreProperties>
</file>